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4EDB9">
      <w:pPr>
        <w:spacing w:beforeLines="0" w:afterLines="0" w:line="560" w:lineRule="exact"/>
        <w:ind w:firstLine="0" w:firstLineChars="0"/>
        <w:jc w:val="left"/>
        <w:outlineLvl w:val="9"/>
        <w:rPr>
          <w:rFonts w:hint="default"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附件2：</w:t>
      </w:r>
    </w:p>
    <w:p w14:paraId="62169FD8">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outlineLvl w:val="9"/>
        <w:rPr>
          <w:rFonts w:hint="eastAsia" w:ascii="方正小标宋简体" w:hAnsi="方正小标宋简体" w:eastAsia="方正小标宋简体" w:cs="方正小标宋简体"/>
          <w:i w:val="0"/>
          <w:iCs w:val="0"/>
          <w:caps w:val="0"/>
          <w:color w:val="auto"/>
          <w:spacing w:val="0"/>
          <w:sz w:val="40"/>
          <w:szCs w:val="40"/>
          <w:shd w:val="clear" w:color="auto" w:fill="FFFFFF"/>
          <w:lang w:val="en-US" w:eastAsia="zh-CN"/>
        </w:rPr>
      </w:pPr>
    </w:p>
    <w:p w14:paraId="10534094">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outlineLvl w:val="9"/>
        <w:rPr>
          <w:rFonts w:hint="eastAsia" w:ascii="方正小标宋简体" w:hAnsi="方正小标宋简体" w:eastAsia="方正小标宋简体" w:cs="方正小标宋简体"/>
          <w:i w:val="0"/>
          <w:iCs w:val="0"/>
          <w:caps w:val="0"/>
          <w:color w:val="auto"/>
          <w:spacing w:val="0"/>
          <w:sz w:val="40"/>
          <w:szCs w:val="40"/>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0"/>
          <w:szCs w:val="40"/>
          <w:shd w:val="clear" w:color="auto" w:fill="FFFFFF"/>
          <w:lang w:val="en-US" w:eastAsia="zh-CN"/>
        </w:rPr>
        <w:t>深圳市企业研发费用资助项目管理办法</w:t>
      </w:r>
    </w:p>
    <w:p w14:paraId="7E7EE457">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outlineLvl w:val="9"/>
        <w:rPr>
          <w:rFonts w:hint="eastAsia" w:eastAsia="方正小标宋简体"/>
          <w:bCs/>
          <w:sz w:val="44"/>
          <w:szCs w:val="32"/>
        </w:rPr>
      </w:pPr>
      <w:r>
        <w:rPr>
          <w:rFonts w:hint="eastAsia" w:ascii="方正小标宋简体" w:hAnsi="方正小标宋简体" w:eastAsia="方正小标宋简体" w:cs="方正小标宋简体"/>
          <w:i w:val="0"/>
          <w:iCs w:val="0"/>
          <w:caps w:val="0"/>
          <w:color w:val="auto"/>
          <w:spacing w:val="0"/>
          <w:sz w:val="40"/>
          <w:szCs w:val="40"/>
          <w:shd w:val="clear" w:color="auto" w:fill="FFFFFF"/>
          <w:lang w:val="en-US" w:eastAsia="zh-CN"/>
        </w:rPr>
        <w:t>起草</w:t>
      </w:r>
      <w:r>
        <w:rPr>
          <w:rFonts w:hint="eastAsia" w:ascii="方正小标宋简体" w:hAnsi="方正小标宋简体" w:eastAsia="方正小标宋简体" w:cs="方正小标宋简体"/>
          <w:i w:val="0"/>
          <w:iCs w:val="0"/>
          <w:caps w:val="0"/>
          <w:color w:val="auto"/>
          <w:spacing w:val="0"/>
          <w:sz w:val="40"/>
          <w:szCs w:val="40"/>
          <w:shd w:val="clear" w:color="auto" w:fill="FFFFFF"/>
        </w:rPr>
        <w:t>说明</w:t>
      </w:r>
    </w:p>
    <w:p w14:paraId="66A0425B">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outlineLvl w:val="9"/>
        <w:rPr>
          <w:rFonts w:hint="eastAsia" w:eastAsia="方正小标宋简体"/>
          <w:bCs/>
          <w:sz w:val="44"/>
          <w:szCs w:val="32"/>
        </w:rPr>
      </w:pPr>
    </w:p>
    <w:p w14:paraId="0FBF8C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14:paraId="592152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sz w:val="32"/>
          <w:szCs w:val="32"/>
          <w:shd w:val="clear" w:color="auto" w:fill="FFFFFF"/>
        </w:rPr>
        <w:t>为贯彻</w:t>
      </w:r>
      <w:r>
        <w:rPr>
          <w:rFonts w:hint="eastAsia" w:ascii="仿宋_GB2312" w:hAnsi="仿宋_GB2312" w:eastAsia="仿宋_GB2312" w:cs="仿宋_GB2312"/>
          <w:i w:val="0"/>
          <w:iCs w:val="0"/>
          <w:caps w:val="0"/>
          <w:color w:val="auto"/>
          <w:spacing w:val="0"/>
          <w:sz w:val="32"/>
          <w:szCs w:val="32"/>
          <w:shd w:val="clear" w:color="auto" w:fill="FFFFFF"/>
          <w:lang w:val="en-US" w:eastAsia="zh-CN"/>
        </w:rPr>
        <w:t>落实</w:t>
      </w:r>
      <w:r>
        <w:rPr>
          <w:rFonts w:hint="eastAsia" w:ascii="仿宋_GB2312" w:hAnsi="仿宋_GB2312" w:eastAsia="仿宋_GB2312" w:cs="仿宋_GB2312"/>
          <w:i w:val="0"/>
          <w:iCs w:val="0"/>
          <w:caps w:val="0"/>
          <w:color w:val="auto"/>
          <w:spacing w:val="0"/>
          <w:sz w:val="32"/>
          <w:szCs w:val="32"/>
          <w:shd w:val="clear" w:color="auto" w:fill="FFFFFF"/>
        </w:rPr>
        <w:t>党的二十届三中全会精神</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，落实</w:t>
      </w:r>
      <w:r>
        <w:rPr>
          <w:rFonts w:hint="eastAsia" w:ascii="仿宋_GB2312" w:hAnsi="仿宋_GB2312" w:eastAsia="仿宋_GB2312" w:cs="仿宋_GB2312"/>
          <w:i w:val="0"/>
          <w:iCs w:val="0"/>
          <w:caps w:val="0"/>
          <w:color w:val="auto"/>
          <w:spacing w:val="0"/>
          <w:sz w:val="32"/>
          <w:szCs w:val="32"/>
          <w:shd w:val="clear" w:color="auto" w:fill="FFFFFF"/>
        </w:rPr>
        <w:t>市委</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市政府决策部署</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进一步引导企业加大研发费用投入，推动企业建立研发准备金制度，提升全社会研发投入水平。根据《关于深圳市加快建设具有全球重要影响力的产业科技创新中心的意见》《关于强化企业科技创新主体地位的实施方案（2024-2025年）》等有关文件要求，结合我市实际，我局征求市相关部门和各区（新区）意见建议，研究起草了《深圳市企业研发费用资助项目管理办法（征求意见稿）》（以下简称《管理</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办法》）。</w:t>
      </w:r>
    </w:p>
    <w:p w14:paraId="22CFCBF6">
      <w:pPr>
        <w:keepNext/>
        <w:keepLines/>
        <w:pageBreakBefore w:val="0"/>
        <w:kinsoku/>
        <w:wordWrap/>
        <w:topLinePunct w:val="0"/>
        <w:autoSpaceDE/>
        <w:autoSpaceDN/>
        <w:bidi w:val="0"/>
        <w:adjustRightInd w:val="0"/>
        <w:snapToGrid w:val="0"/>
        <w:spacing w:beforeAutospacing="0" w:afterAutospacing="0" w:line="560" w:lineRule="exact"/>
        <w:ind w:firstLine="640" w:firstLineChars="200"/>
        <w:textAlignment w:val="auto"/>
        <w:outlineLvl w:val="0"/>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二、基本思路</w:t>
      </w:r>
    </w:p>
    <w:p w14:paraId="6B577069">
      <w:pPr>
        <w:pageBreakBefore w:val="0"/>
        <w:kinsoku/>
        <w:wordWrap/>
        <w:topLinePunct w:val="0"/>
        <w:autoSpaceDE/>
        <w:autoSpaceDN/>
        <w:bidi w:val="0"/>
        <w:spacing w:beforeAutospacing="0" w:afterAutospacing="0" w:line="560" w:lineRule="exact"/>
        <w:ind w:firstLine="640" w:firstLineChars="200"/>
        <w:textAlignment w:val="auto"/>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t>（一）注重直达快享</w:t>
      </w:r>
    </w:p>
    <w:p w14:paraId="510B85BF">
      <w:pPr>
        <w:pageBreakBefore w:val="0"/>
        <w:kinsoku/>
        <w:wordWrap/>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企业研发费用计算口径，采用允许加计扣除的研发费用总额，通过政府内部数据共享、资料核实比对等方式，以免申报方式实现“直达快享”，提升企业政策获得感。</w:t>
      </w:r>
    </w:p>
    <w:p w14:paraId="6D176F99">
      <w:pPr>
        <w:pageBreakBefore w:val="0"/>
        <w:kinsoku/>
        <w:wordWrap/>
        <w:topLinePunct w:val="0"/>
        <w:autoSpaceDE/>
        <w:autoSpaceDN/>
        <w:bidi w:val="0"/>
        <w:spacing w:beforeAutospacing="0" w:afterAutospacing="0" w:line="560" w:lineRule="exact"/>
        <w:ind w:firstLine="640" w:firstLineChars="200"/>
        <w:textAlignment w:val="auto"/>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t>（二）注重协同联动</w:t>
      </w:r>
    </w:p>
    <w:p w14:paraId="32DEAA26">
      <w:pPr>
        <w:pStyle w:val="2"/>
        <w:spacing w:before="0" w:beforeAutospacing="0" w:after="0" w:afterAutospacing="0" w:line="560" w:lineRule="exact"/>
        <w:ind w:firstLine="640" w:firstLineChars="2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建立多部门协同机制，</w:t>
      </w:r>
      <w:r>
        <w:rPr>
          <w:rFonts w:hint="eastAsia" w:ascii="仿宋_GB2312" w:hAnsi="仿宋_GB2312" w:eastAsia="仿宋_GB2312" w:cs="仿宋_GB2312"/>
          <w:b w:val="0"/>
          <w:bCs w:val="0"/>
          <w:i w:val="0"/>
          <w:iCs w:val="0"/>
          <w:caps w:val="0"/>
          <w:color w:val="auto"/>
          <w:spacing w:val="0"/>
          <w:sz w:val="32"/>
          <w:szCs w:val="32"/>
          <w:vertAlign w:val="baseline"/>
          <w:lang w:val="en-US" w:eastAsia="zh-CN"/>
        </w:rPr>
        <w:t>实施</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市区联动机制，</w:t>
      </w:r>
      <w:r>
        <w:rPr>
          <w:rFonts w:hint="eastAsia" w:ascii="仿宋_GB2312" w:hAnsi="仿宋_GB2312" w:eastAsia="仿宋_GB2312" w:cs="仿宋_GB2312"/>
          <w:b w:val="0"/>
          <w:bCs w:val="0"/>
          <w:i w:val="0"/>
          <w:iCs w:val="0"/>
          <w:caps w:val="0"/>
          <w:color w:val="auto"/>
          <w:spacing w:val="0"/>
          <w:sz w:val="32"/>
          <w:szCs w:val="32"/>
          <w:shd w:val="clear" w:color="auto" w:fill="FFFFFF"/>
        </w:rPr>
        <w:t>筛选</w:t>
      </w:r>
      <w:r>
        <w:rPr>
          <w:rFonts w:hint="eastAsia" w:ascii="仿宋_GB2312" w:hAnsi="仿宋_GB2312" w:eastAsia="仿宋_GB2312" w:cs="仿宋_GB2312"/>
          <w:b w:val="0"/>
          <w:bCs w:val="0"/>
          <w:i w:val="0"/>
          <w:iCs w:val="0"/>
          <w:caps w:val="0"/>
          <w:color w:val="auto"/>
          <w:spacing w:val="0"/>
          <w:sz w:val="32"/>
          <w:szCs w:val="32"/>
          <w:vertAlign w:val="baseline"/>
        </w:rPr>
        <w:t>拟符合</w:t>
      </w:r>
      <w:r>
        <w:rPr>
          <w:rFonts w:hint="eastAsia" w:ascii="仿宋_GB2312" w:hAnsi="仿宋_GB2312" w:eastAsia="仿宋_GB2312" w:cs="仿宋_GB2312"/>
          <w:b w:val="0"/>
          <w:bCs w:val="0"/>
          <w:i w:val="0"/>
          <w:iCs w:val="0"/>
          <w:caps w:val="0"/>
          <w:color w:val="auto"/>
          <w:spacing w:val="0"/>
          <w:sz w:val="32"/>
          <w:szCs w:val="32"/>
          <w:vertAlign w:val="baseline"/>
          <w:lang w:val="en-US" w:eastAsia="zh-CN"/>
        </w:rPr>
        <w:t>项目</w:t>
      </w:r>
      <w:r>
        <w:rPr>
          <w:rFonts w:hint="eastAsia" w:ascii="仿宋_GB2312" w:hAnsi="仿宋_GB2312" w:eastAsia="仿宋_GB2312" w:cs="仿宋_GB2312"/>
          <w:b w:val="0"/>
          <w:bCs w:val="0"/>
          <w:i w:val="0"/>
          <w:iCs w:val="0"/>
          <w:caps w:val="0"/>
          <w:color w:val="auto"/>
          <w:spacing w:val="0"/>
          <w:sz w:val="32"/>
          <w:szCs w:val="32"/>
          <w:vertAlign w:val="baseline"/>
        </w:rPr>
        <w:t>兑现</w:t>
      </w:r>
      <w:r>
        <w:rPr>
          <w:rFonts w:hint="eastAsia" w:ascii="仿宋_GB2312" w:hAnsi="仿宋_GB2312" w:eastAsia="仿宋_GB2312" w:cs="仿宋_GB2312"/>
          <w:b w:val="0"/>
          <w:bCs w:val="0"/>
          <w:i w:val="0"/>
          <w:iCs w:val="0"/>
          <w:caps w:val="0"/>
          <w:color w:val="auto"/>
          <w:spacing w:val="0"/>
          <w:sz w:val="32"/>
          <w:szCs w:val="32"/>
          <w:vertAlign w:val="baseline"/>
          <w:lang w:val="en-US" w:eastAsia="zh-CN"/>
        </w:rPr>
        <w:t>条件的</w:t>
      </w:r>
      <w:r>
        <w:rPr>
          <w:rFonts w:hint="eastAsia" w:ascii="仿宋_GB2312" w:hAnsi="仿宋_GB2312" w:eastAsia="仿宋_GB2312" w:cs="仿宋_GB2312"/>
          <w:b w:val="0"/>
          <w:bCs w:val="0"/>
          <w:i w:val="0"/>
          <w:iCs w:val="0"/>
          <w:caps w:val="0"/>
          <w:color w:val="auto"/>
          <w:spacing w:val="0"/>
          <w:sz w:val="32"/>
          <w:szCs w:val="32"/>
          <w:vertAlign w:val="baseline"/>
        </w:rPr>
        <w:t>企业名单</w:t>
      </w:r>
      <w:r>
        <w:rPr>
          <w:rFonts w:hint="eastAsia" w:ascii="仿宋_GB2312" w:hAnsi="仿宋_GB2312" w:eastAsia="仿宋_GB2312" w:cs="仿宋_GB2312"/>
          <w:b w:val="0"/>
          <w:bCs w:val="0"/>
          <w:i w:val="0"/>
          <w:iCs w:val="0"/>
          <w:caps w:val="0"/>
          <w:color w:val="auto"/>
          <w:spacing w:val="0"/>
          <w:sz w:val="32"/>
          <w:szCs w:val="32"/>
          <w:vertAlign w:val="baseline"/>
          <w:lang w:eastAsia="zh-CN"/>
        </w:rPr>
        <w:t>，</w:t>
      </w:r>
      <w:r>
        <w:rPr>
          <w:rFonts w:hint="eastAsia" w:ascii="仿宋_GB2312" w:hAnsi="仿宋_GB2312" w:eastAsia="仿宋_GB2312" w:cs="仿宋_GB2312"/>
          <w:b w:val="0"/>
          <w:bCs w:val="0"/>
          <w:i w:val="0"/>
          <w:iCs w:val="0"/>
          <w:caps w:val="0"/>
          <w:color w:val="auto"/>
          <w:spacing w:val="0"/>
          <w:sz w:val="32"/>
          <w:szCs w:val="32"/>
          <w:vertAlign w:val="baseline"/>
          <w:lang w:val="en-US" w:eastAsia="zh-CN"/>
        </w:rPr>
        <w:t>变“企业找政策”为“政策找企业”</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p>
    <w:p w14:paraId="79F4D72C">
      <w:pPr>
        <w:spacing w:beforeAutospacing="0" w:afterAutospacing="0" w:line="560" w:lineRule="exact"/>
        <w:ind w:firstLine="640" w:firstLineChars="200"/>
        <w:rPr>
          <w:rFonts w:hint="default" w:ascii="楷体_GB2312" w:hAnsi="楷体_GB2312" w:eastAsia="楷体_GB2312" w:cs="楷体_GB2312"/>
          <w:color w:val="auto"/>
          <w:kern w:val="0"/>
          <w:sz w:val="32"/>
          <w:szCs w:val="32"/>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t>（三）注重发挥实效</w:t>
      </w:r>
    </w:p>
    <w:p w14:paraId="41B0D7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坚持目标导向、结果导向，进一步发挥市科技研发资金撬动作用，持续稳定支持企业加大研发投入，完善以企业为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主体</w:t>
      </w:r>
      <w:r>
        <w:rPr>
          <w:rFonts w:hint="eastAsia" w:ascii="仿宋_GB2312" w:hAnsi="仿宋_GB2312" w:eastAsia="仿宋_GB2312" w:cs="仿宋_GB2312"/>
          <w:i w:val="0"/>
          <w:iCs w:val="0"/>
          <w:caps w:val="0"/>
          <w:color w:val="auto"/>
          <w:spacing w:val="0"/>
          <w:sz w:val="32"/>
          <w:szCs w:val="32"/>
          <w:shd w:val="clear" w:color="auto" w:fill="FFFFFF"/>
        </w:rPr>
        <w:t>的创新体系，</w:t>
      </w:r>
      <w:r>
        <w:rPr>
          <w:rFonts w:hint="eastAsia" w:ascii="仿宋_GB2312" w:hAnsi="仿宋_GB2312" w:eastAsia="仿宋_GB2312" w:cs="仿宋_GB2312"/>
          <w:i w:val="0"/>
          <w:iCs w:val="0"/>
          <w:caps w:val="0"/>
          <w:color w:val="auto"/>
          <w:spacing w:val="0"/>
          <w:sz w:val="32"/>
          <w:szCs w:val="32"/>
          <w:shd w:val="clear" w:color="auto" w:fill="FFFFFF"/>
          <w:lang w:val="en-US" w:eastAsia="zh-CN"/>
        </w:rPr>
        <w:t>推动</w:t>
      </w:r>
      <w:r>
        <w:rPr>
          <w:rFonts w:hint="eastAsia" w:ascii="仿宋_GB2312" w:hAnsi="仿宋_GB2312" w:eastAsia="仿宋_GB2312" w:cs="仿宋_GB2312"/>
          <w:i w:val="0"/>
          <w:iCs w:val="0"/>
          <w:caps w:val="0"/>
          <w:color w:val="auto"/>
          <w:spacing w:val="0"/>
          <w:sz w:val="32"/>
          <w:szCs w:val="32"/>
          <w:shd w:val="clear" w:color="auto" w:fill="FFFFFF"/>
        </w:rPr>
        <w:t>全社会研发投入保持</w:t>
      </w:r>
      <w:r>
        <w:rPr>
          <w:rFonts w:hint="eastAsia" w:ascii="仿宋_GB2312" w:hAnsi="仿宋_GB2312" w:eastAsia="仿宋_GB2312" w:cs="仿宋_GB2312"/>
          <w:i w:val="0"/>
          <w:iCs w:val="0"/>
          <w:caps w:val="0"/>
          <w:color w:val="auto"/>
          <w:spacing w:val="0"/>
          <w:sz w:val="32"/>
          <w:szCs w:val="32"/>
          <w:shd w:val="clear" w:color="auto" w:fill="FFFFFF"/>
          <w:lang w:val="en-US" w:eastAsia="zh-CN"/>
        </w:rPr>
        <w:t>两位数</w:t>
      </w:r>
      <w:r>
        <w:rPr>
          <w:rFonts w:hint="eastAsia" w:ascii="仿宋_GB2312" w:hAnsi="仿宋_GB2312" w:eastAsia="仿宋_GB2312" w:cs="仿宋_GB2312"/>
          <w:i w:val="0"/>
          <w:iCs w:val="0"/>
          <w:caps w:val="0"/>
          <w:color w:val="auto"/>
          <w:spacing w:val="0"/>
          <w:sz w:val="32"/>
          <w:szCs w:val="32"/>
          <w:shd w:val="clear" w:color="auto" w:fill="FFFFFF"/>
        </w:rPr>
        <w:t>增长</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助力深圳加快</w:t>
      </w:r>
      <w:r>
        <w:rPr>
          <w:rFonts w:hint="eastAsia" w:ascii="仿宋_GB2312" w:hAnsi="仿宋_GB2312" w:eastAsia="仿宋_GB2312" w:cs="仿宋_GB2312"/>
          <w:i w:val="0"/>
          <w:iCs w:val="0"/>
          <w:caps w:val="0"/>
          <w:color w:val="auto"/>
          <w:spacing w:val="0"/>
          <w:sz w:val="32"/>
          <w:szCs w:val="32"/>
          <w:shd w:val="clear" w:color="auto" w:fill="FFFFFF"/>
          <w:lang w:val="en-US" w:eastAsia="zh-CN"/>
        </w:rPr>
        <w:t>建设</w:t>
      </w:r>
      <w:r>
        <w:rPr>
          <w:rFonts w:hint="eastAsia" w:ascii="仿宋_GB2312" w:hAnsi="仿宋_GB2312" w:eastAsia="仿宋_GB2312" w:cs="仿宋_GB2312"/>
          <w:i w:val="0"/>
          <w:iCs w:val="0"/>
          <w:caps w:val="0"/>
          <w:color w:val="auto"/>
          <w:spacing w:val="0"/>
          <w:sz w:val="32"/>
          <w:szCs w:val="32"/>
          <w:shd w:val="clear" w:color="auto" w:fill="FFFFFF"/>
        </w:rPr>
        <w:t>具有全球重要影响力的产业科技创新中心</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全方位打造创新之城</w:t>
      </w:r>
      <w:r>
        <w:rPr>
          <w:rFonts w:hint="eastAsia" w:ascii="仿宋_GB2312" w:hAnsi="仿宋_GB2312" w:eastAsia="仿宋_GB2312" w:cs="仿宋_GB2312"/>
          <w:i w:val="0"/>
          <w:iCs w:val="0"/>
          <w:caps w:val="0"/>
          <w:color w:val="auto"/>
          <w:spacing w:val="0"/>
          <w:sz w:val="32"/>
          <w:szCs w:val="32"/>
          <w:shd w:val="clear" w:color="auto" w:fill="FFFFFF"/>
        </w:rPr>
        <w:t>。</w:t>
      </w:r>
    </w:p>
    <w:p w14:paraId="7667DC93">
      <w:pPr>
        <w:pageBreakBefore w:val="0"/>
        <w:kinsoku/>
        <w:wordWrap/>
        <w:topLinePunct w:val="0"/>
        <w:autoSpaceDE/>
        <w:autoSpaceDN/>
        <w:bidi w:val="0"/>
        <w:spacing w:beforeAutospacing="0" w:afterAutospacing="0" w:line="560" w:lineRule="exact"/>
        <w:ind w:firstLine="640"/>
        <w:textAlignment w:val="auto"/>
        <w:outlineLvl w:val="0"/>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三、主要内容</w:t>
      </w:r>
    </w:p>
    <w:p w14:paraId="445F62C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《管理办法》共五章19条，分为总则、职责分工、资助范围和方式、监督管理、附则。</w:t>
      </w:r>
    </w:p>
    <w:p w14:paraId="4AEF578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t>（一）总则。</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明确企业研发费用资助项目的设立依据、定义、适用范围、实施原则。</w:t>
      </w:r>
    </w:p>
    <w:p w14:paraId="16CAF21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t>（二）职责分工。</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明确细化市科技行政主管部门职责、专业机构职责、各区科技主管部门职责、获资助企业职责。</w:t>
      </w:r>
    </w:p>
    <w:p w14:paraId="73D6D16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t>（三）资助范围和方式。</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明确项目资助条件、资助标准、资助流程，鼓励</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各区科技主管部门在执行市级资助政策基础上进一步加大对企业研发投入的资助力度</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p>
    <w:p w14:paraId="3947A78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t>（四）监督管理。</w:t>
      </w:r>
      <w:r>
        <w:rPr>
          <w:rFonts w:hint="eastAsia" w:eastAsia="仿宋_GB2312"/>
          <w:color w:val="000000"/>
          <w:sz w:val="32"/>
          <w:szCs w:val="32"/>
          <w:lang w:val="en-US" w:eastAsia="zh-CN" w:bidi="ar"/>
        </w:rPr>
        <w:t>明确</w:t>
      </w:r>
      <w:r>
        <w:rPr>
          <w:rFonts w:hint="eastAsia" w:eastAsia="仿宋_GB2312" w:cs="Times New Roman"/>
          <w:color w:val="000000"/>
          <w:sz w:val="32"/>
          <w:szCs w:val="32"/>
          <w:lang w:val="en-US" w:eastAsia="zh-CN" w:bidi="ar"/>
        </w:rPr>
        <w:t>企业对</w:t>
      </w:r>
      <w:r>
        <w:rPr>
          <w:rFonts w:hint="eastAsia" w:ascii="Times New Roman" w:hAnsi="Times New Roman" w:eastAsia="仿宋_GB2312" w:cs="Times New Roman"/>
          <w:color w:val="000000"/>
          <w:sz w:val="32"/>
          <w:szCs w:val="32"/>
          <w:lang w:val="en-US" w:eastAsia="zh-CN" w:bidi="ar"/>
        </w:rPr>
        <w:t>资助资金</w:t>
      </w:r>
      <w:r>
        <w:rPr>
          <w:rFonts w:hint="eastAsia" w:eastAsia="仿宋_GB2312" w:cs="Times New Roman"/>
          <w:color w:val="000000"/>
          <w:sz w:val="32"/>
          <w:szCs w:val="32"/>
          <w:lang w:val="en-US" w:eastAsia="zh-CN" w:bidi="ar"/>
        </w:rPr>
        <w:t>的</w:t>
      </w:r>
      <w:r>
        <w:rPr>
          <w:rFonts w:hint="eastAsia" w:ascii="Times New Roman" w:hAnsi="Times New Roman" w:eastAsia="仿宋_GB2312" w:cs="Times New Roman"/>
          <w:color w:val="000000"/>
          <w:sz w:val="32"/>
          <w:szCs w:val="32"/>
          <w:lang w:val="en-US" w:eastAsia="zh-CN" w:bidi="ar"/>
        </w:rPr>
        <w:t>使用</w:t>
      </w:r>
      <w:r>
        <w:rPr>
          <w:rFonts w:hint="eastAsia" w:eastAsia="仿宋_GB2312" w:cs="Times New Roman"/>
          <w:color w:val="000000"/>
          <w:sz w:val="32"/>
          <w:szCs w:val="32"/>
          <w:lang w:val="en-US" w:eastAsia="zh-CN" w:bidi="ar"/>
        </w:rPr>
        <w:t>要求和管理规定，对</w:t>
      </w:r>
      <w:r>
        <w:rPr>
          <w:rFonts w:hint="eastAsia" w:eastAsia="仿宋_GB2312"/>
          <w:color w:val="000000"/>
          <w:sz w:val="32"/>
          <w:szCs w:val="32"/>
          <w:lang w:val="en-US" w:eastAsia="zh-CN" w:bidi="ar"/>
        </w:rPr>
        <w:t>骗取资助资金的相关责任主体依法依规处理</w:t>
      </w:r>
      <w:r>
        <w:rPr>
          <w:rFonts w:hint="eastAsia" w:eastAsia="仿宋_GB2312"/>
          <w:color w:val="000000"/>
          <w:sz w:val="32"/>
          <w:szCs w:val="32"/>
          <w:lang w:bidi="ar"/>
        </w:rPr>
        <w:t>。</w:t>
      </w:r>
    </w:p>
    <w:p w14:paraId="19F4332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auto"/>
          <w:spacing w:val="0"/>
          <w:kern w:val="0"/>
          <w:sz w:val="32"/>
          <w:szCs w:val="32"/>
          <w:shd w:val="clear" w:color="auto" w:fill="FFFFFF"/>
          <w:lang w:val="en-US" w:eastAsia="zh-CN" w:bidi="ar"/>
        </w:rPr>
        <w:t>（五）附则。</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规定未尽事项和有效期。</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67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CC10C">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0CC10C">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2519D"/>
    <w:rsid w:val="04306A9A"/>
    <w:rsid w:val="070C4022"/>
    <w:rsid w:val="15615E88"/>
    <w:rsid w:val="1F4315DA"/>
    <w:rsid w:val="20A727FA"/>
    <w:rsid w:val="2156200F"/>
    <w:rsid w:val="31A5724A"/>
    <w:rsid w:val="35C2519D"/>
    <w:rsid w:val="3696204F"/>
    <w:rsid w:val="38203D22"/>
    <w:rsid w:val="4F0267CA"/>
    <w:rsid w:val="5B6E5D0F"/>
    <w:rsid w:val="5DAC340D"/>
    <w:rsid w:val="678607E2"/>
    <w:rsid w:val="6E7B28C0"/>
    <w:rsid w:val="79AC5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方正小标宋简体" w:cs="Times New Roman"/>
      <w:bCs/>
      <w:kern w:val="44"/>
      <w:sz w:val="44"/>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975</Words>
  <Characters>990</Characters>
  <Lines>0</Lines>
  <Paragraphs>0</Paragraphs>
  <TotalTime>0</TotalTime>
  <ScaleCrop>false</ScaleCrop>
  <LinksUpToDate>false</LinksUpToDate>
  <CharactersWithSpaces>990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2025-04-01T22:58:00Z</dcterms:created>
  <dc:creator>LOCA</dc:creator>
  <cp:lastModifiedBy>/</cp:lastModifiedBy>
  <cp:lastPrinted>2025-04-29T06:57:00Z</cp:lastPrinted>
  <dcterms:modified xsi:type="dcterms:W3CDTF">2025-04-29T08:42:25Z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ED42F591652540D69ABA6C3A066699BD_13</vt:lpwstr>
  </property>
  <property fmtid="{D5CDD505-2E9C-101B-9397-08002B2CF9AE}" pid="4" name="KSOTemplateDocerSaveRecord">
    <vt:lpwstr>eyJoZGlkIjoiMWE2ZTJlNTI4YmVkOWM5ZmJlYmVhOTcyNDQ0MGFlZmEiLCJ1c2VySWQiOiIzODgxNzMyNDQifQ==</vt:lpwstr>
  </property>
</Properties>
</file>