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B3E63">
      <w:pPr>
        <w:spacing w:line="360" w:lineRule="auto"/>
        <w:ind w:right="126"/>
        <w:jc w:val="center"/>
        <w:rPr>
          <w:rFonts w:hint="eastAsia" w:ascii="黑体" w:hAnsi="黑体" w:eastAsia="黑体" w:cs="黑体"/>
          <w:b/>
          <w:bCs/>
          <w:sz w:val="32"/>
          <w:szCs w:val="32"/>
        </w:rPr>
      </w:pPr>
      <w:bookmarkStart w:id="0" w:name="page1"/>
      <w:bookmarkEnd w:id="0"/>
      <w:r>
        <w:rPr>
          <w:rFonts w:hint="eastAsia" w:ascii="黑体" w:hAnsi="黑体" w:eastAsia="黑体" w:cs="黑体"/>
          <w:b/>
          <w:bCs/>
          <w:sz w:val="32"/>
          <w:szCs w:val="32"/>
          <w:lang w:eastAsia="zh-CN"/>
        </w:rPr>
        <w:t>深圳市地方标准</w:t>
      </w:r>
      <w:r>
        <w:rPr>
          <w:rFonts w:hint="eastAsia" w:ascii="黑体" w:hAnsi="黑体" w:eastAsia="黑体" w:cs="黑体"/>
          <w:b/>
          <w:bCs/>
          <w:sz w:val="32"/>
          <w:szCs w:val="32"/>
        </w:rPr>
        <w:t>《</w:t>
      </w:r>
      <w:r>
        <w:rPr>
          <w:rFonts w:hint="eastAsia" w:ascii="黑体" w:hAnsi="黑体" w:eastAsia="黑体" w:cs="黑体"/>
          <w:b/>
          <w:bCs/>
          <w:sz w:val="32"/>
          <w:szCs w:val="32"/>
          <w:lang w:eastAsia="zh-CN"/>
        </w:rPr>
        <w:t>锂离子电池储能系统功能安全规范</w:t>
      </w:r>
      <w:r>
        <w:rPr>
          <w:rFonts w:hint="eastAsia" w:ascii="黑体" w:hAnsi="黑体" w:eastAsia="黑体" w:cs="黑体"/>
          <w:b/>
          <w:bCs/>
          <w:sz w:val="32"/>
          <w:szCs w:val="32"/>
        </w:rPr>
        <w:t>》</w:t>
      </w:r>
    </w:p>
    <w:p w14:paraId="5C9B6434">
      <w:pPr>
        <w:spacing w:line="360" w:lineRule="auto"/>
        <w:ind w:right="126"/>
        <w:jc w:val="center"/>
        <w:rPr>
          <w:rFonts w:hint="eastAsia" w:ascii="黑体" w:hAnsi="黑体" w:eastAsia="黑体" w:cs="黑体"/>
          <w:b/>
          <w:bCs/>
          <w:sz w:val="32"/>
          <w:szCs w:val="32"/>
        </w:rPr>
      </w:pPr>
      <w:r>
        <w:rPr>
          <w:rFonts w:hint="eastAsia" w:ascii="黑体" w:hAnsi="黑体" w:eastAsia="黑体" w:cs="黑体"/>
          <w:b/>
          <w:bCs/>
          <w:sz w:val="32"/>
          <w:szCs w:val="32"/>
          <w:lang w:eastAsia="zh-CN"/>
        </w:rPr>
        <w:t>（征求意见</w:t>
      </w:r>
      <w:r>
        <w:rPr>
          <w:rFonts w:hint="eastAsia" w:ascii="黑体" w:hAnsi="黑体" w:eastAsia="黑体" w:cs="黑体"/>
          <w:b/>
          <w:bCs/>
          <w:sz w:val="32"/>
          <w:szCs w:val="32"/>
        </w:rPr>
        <w:t>稿</w:t>
      </w:r>
      <w:r>
        <w:rPr>
          <w:rFonts w:hint="eastAsia" w:ascii="黑体" w:hAnsi="黑体" w:eastAsia="黑体" w:cs="黑体"/>
          <w:b/>
          <w:bCs/>
          <w:sz w:val="32"/>
          <w:szCs w:val="32"/>
          <w:lang w:eastAsia="zh-CN"/>
        </w:rPr>
        <w:t>）</w:t>
      </w:r>
      <w:r>
        <w:rPr>
          <w:rFonts w:hint="eastAsia" w:ascii="黑体" w:hAnsi="黑体" w:eastAsia="黑体" w:cs="黑体"/>
          <w:b/>
          <w:bCs/>
          <w:sz w:val="32"/>
          <w:szCs w:val="32"/>
        </w:rPr>
        <w:t>编制说明</w:t>
      </w:r>
    </w:p>
    <w:p w14:paraId="675B521F">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ind w:left="0" w:leftChars="0" w:right="0" w:firstLine="0" w:firstLineChars="0"/>
        <w:textAlignment w:val="auto"/>
        <w:outlineLvl w:val="0"/>
        <w:rPr>
          <w:rFonts w:hint="eastAsia" w:ascii="仿宋" w:hAnsi="仿宋" w:eastAsia="仿宋" w:cs="仿宋"/>
          <w:b/>
          <w:sz w:val="28"/>
          <w:szCs w:val="28"/>
        </w:rPr>
      </w:pPr>
      <w:r>
        <w:rPr>
          <w:rFonts w:hint="eastAsia" w:ascii="仿宋" w:hAnsi="仿宋" w:eastAsia="仿宋" w:cs="仿宋"/>
          <w:b/>
          <w:sz w:val="28"/>
          <w:szCs w:val="28"/>
          <w:lang w:eastAsia="zh-CN"/>
        </w:rPr>
        <w:t>项目</w:t>
      </w:r>
      <w:r>
        <w:rPr>
          <w:rFonts w:hint="eastAsia" w:ascii="仿宋" w:hAnsi="仿宋" w:eastAsia="仿宋" w:cs="仿宋"/>
          <w:b/>
          <w:sz w:val="28"/>
          <w:szCs w:val="28"/>
        </w:rPr>
        <w:t>背景</w:t>
      </w:r>
    </w:p>
    <w:p w14:paraId="562F38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随着全球对清洁能源的需求日益增长以及能源转型的加速推进，储能技术作为支撑可再生能源大规模接入、提升电力系统稳定性与灵活性的关键手段，其重要性愈发凸显。锂离子电池储能系统凭借能量密度高、循环寿命长、响应速度快等优势，在电力储能领域得到了广泛应用。</w:t>
      </w:r>
    </w:p>
    <w:p w14:paraId="5032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近年来，</w:t>
      </w:r>
      <w:r>
        <w:rPr>
          <w:rFonts w:hint="eastAsia" w:ascii="仿宋" w:hAnsi="仿宋" w:eastAsia="仿宋" w:cs="仿宋"/>
          <w:sz w:val="24"/>
          <w:szCs w:val="24"/>
          <w:lang w:eastAsia="zh-CN"/>
        </w:rPr>
        <w:t>政府颁布了</w:t>
      </w:r>
      <w:r>
        <w:rPr>
          <w:rFonts w:hint="eastAsia" w:ascii="仿宋" w:hAnsi="仿宋" w:eastAsia="仿宋" w:cs="仿宋"/>
          <w:sz w:val="24"/>
          <w:szCs w:val="24"/>
        </w:rPr>
        <w:t>一系列鼓励储能产业发展的政策。在国家层面，《关于促进储能技术与产业发展的指导意见》明确了储能产业发展的目标与重点任务，为储能技术创新、应用示范及商业化推广指明方向，强调要提升储能系统安全性、可靠性等关键性能指标。《“十四五”新型储能发展实施方案》进一步细化了储能产业在“十四五”期间的发展路径，要求各地加大储能项目建设力度，完善储能标准体系，加强储能安全管理。</w:t>
      </w:r>
    </w:p>
    <w:p w14:paraId="0AAC7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深圳市积极响应国家号召，结合自身产业优势与能源发展需求，制定多项配套政策。《深圳市能源发展“十四五”规划》将储能列为重点发展领域之一，规划建设一批大型储能示范项目，鼓励本地企业加大研发投入，突破储能系统关键技术瓶颈，同时着重强调要建立健</w:t>
      </w:r>
      <w:r>
        <w:rPr>
          <w:rFonts w:hint="eastAsia" w:ascii="仿宋" w:hAnsi="仿宋" w:eastAsia="仿宋" w:cs="仿宋"/>
          <w:sz w:val="24"/>
          <w:szCs w:val="24"/>
          <w:highlight w:val="none"/>
        </w:rPr>
        <w:t>全储能系统安全标准规范，保障储能项目安全稳定运行。在《深圳市支持电化学储能产业加快发展的若干措施》（深发改〔2023〕82号）中，明确指出支持企业参与储能领域国际标准、国家标准、行业标准、地方标准的制定和修订，其中储能电池安全也是重点推进标准之一。</w:t>
      </w:r>
    </w:p>
    <w:p w14:paraId="3A5B73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深圳作为我国高新技术产业的聚集地，储能市场呈现蓬勃发展态势</w:t>
      </w:r>
      <w:r>
        <w:rPr>
          <w:rFonts w:hint="eastAsia" w:ascii="仿宋" w:hAnsi="仿宋" w:eastAsia="仿宋" w:cs="仿宋"/>
          <w:sz w:val="24"/>
          <w:szCs w:val="24"/>
          <w:lang w:eastAsia="zh-CN"/>
        </w:rPr>
        <w:t>。</w:t>
      </w:r>
      <w:r>
        <w:rPr>
          <w:rFonts w:hint="eastAsia" w:ascii="仿宋" w:hAnsi="仿宋" w:eastAsia="仿宋" w:cs="仿宋"/>
          <w:sz w:val="24"/>
          <w:szCs w:val="24"/>
        </w:rPr>
        <w:t>在政策支持和产业基础优势双重加持下，龙头企业纷纷布局落子。目前，深圳聚集着比亚迪、华为数字能源、欣旺达、奥特迅、华宝新能、正浩创新、科陆、盛弘、贝特瑞、德方纳米、星源材质、新宙邦、格林美等代表企业，</w:t>
      </w:r>
      <w:r>
        <w:rPr>
          <w:rFonts w:hint="eastAsia" w:ascii="仿宋" w:hAnsi="仿宋" w:eastAsia="仿宋" w:cs="仿宋"/>
          <w:sz w:val="24"/>
          <w:szCs w:val="24"/>
          <w:lang w:eastAsia="zh-CN"/>
        </w:rPr>
        <w:t>共</w:t>
      </w:r>
      <w:r>
        <w:rPr>
          <w:rFonts w:hint="eastAsia" w:ascii="仿宋" w:hAnsi="仿宋" w:eastAsia="仿宋" w:cs="仿宋"/>
          <w:sz w:val="24"/>
          <w:szCs w:val="24"/>
        </w:rPr>
        <w:t>拥有储能相关产业近7000家，上市公司近51家。</w:t>
      </w:r>
      <w:r>
        <w:rPr>
          <w:rFonts w:hint="eastAsia" w:ascii="仿宋" w:hAnsi="仿宋" w:eastAsia="仿宋" w:cs="仿宋"/>
          <w:sz w:val="24"/>
          <w:szCs w:val="24"/>
          <w:lang w:eastAsia="zh-CN"/>
        </w:rPr>
        <w:t>截止至</w:t>
      </w:r>
      <w:r>
        <w:rPr>
          <w:rFonts w:hint="eastAsia" w:ascii="仿宋" w:hAnsi="仿宋" w:eastAsia="仿宋" w:cs="仿宋"/>
          <w:sz w:val="24"/>
          <w:szCs w:val="24"/>
          <w:lang w:val="en-US" w:eastAsia="zh-CN"/>
        </w:rPr>
        <w:t>2024年7月</w:t>
      </w:r>
      <w:r>
        <w:rPr>
          <w:rFonts w:hint="eastAsia" w:ascii="仿宋" w:hAnsi="仿宋" w:eastAsia="仿宋" w:cs="仿宋"/>
          <w:sz w:val="24"/>
          <w:szCs w:val="24"/>
        </w:rPr>
        <w:t>，深圳市市电化学储能产业年产值已突破3000亿元</w:t>
      </w:r>
      <w:r>
        <w:rPr>
          <w:rFonts w:hint="eastAsia" w:ascii="仿宋" w:hAnsi="仿宋" w:eastAsia="仿宋" w:cs="仿宋"/>
          <w:sz w:val="24"/>
          <w:szCs w:val="24"/>
          <w:lang w:eastAsia="zh-CN"/>
        </w:rPr>
        <w:t>。</w:t>
      </w:r>
    </w:p>
    <w:p w14:paraId="0B5DB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尽管市场发展迅猛，但锂离子电池储能系统的安全性问题不容忽视。随着储能系统应用场景日益多样化、规模化，火灾、爆炸等安全事故时有发生，引发社会广泛关注。造成这些事故的原因既包括电池本体的热失控风险、电池一致性差异导致的过充过放问题，也涉及储能系统的电气设计不合理、散热管理不到位以及缺乏有效的安全防护与预警机制等因素。这些安全隐患不仅威胁到人民生命财产安全，也制约了储能产业的健康可持续发展，迫切需要一套完善的功能安全规范来加以引导与约束。</w:t>
      </w:r>
    </w:p>
    <w:p w14:paraId="2D4B83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综上所述，在政策大力推动与市场蓬勃发展的背景下，为填补深圳市锂离子电池储能系统功能安全标准的空白，保障产业高质量发展，编制《锂离子电池储能系统功能安全规范》具有极其重要的现实意义。</w:t>
      </w:r>
    </w:p>
    <w:p w14:paraId="656E45B9">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ind w:left="0" w:leftChars="0" w:right="0" w:firstLine="0" w:firstLineChars="0"/>
        <w:textAlignment w:val="auto"/>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工作简况</w:t>
      </w:r>
    </w:p>
    <w:p w14:paraId="737ABAB7">
      <w:pPr>
        <w:keepNext w:val="0"/>
        <w:keepLines w:val="0"/>
        <w:pageBreakBefore w:val="0"/>
        <w:widowControl/>
        <w:numPr>
          <w:ilvl w:val="0"/>
          <w:numId w:val="4"/>
        </w:numPr>
        <w:kinsoku/>
        <w:wordWrap/>
        <w:overflowPunct/>
        <w:topLinePunct w:val="0"/>
        <w:autoSpaceDE/>
        <w:autoSpaceDN/>
        <w:bidi w:val="0"/>
        <w:adjustRightInd/>
        <w:snapToGrid/>
        <w:spacing w:after="156" w:afterLines="50" w:line="360" w:lineRule="auto"/>
        <w:ind w:left="0" w:leftChars="0" w:right="0" w:firstLine="0" w:firstLineChars="0"/>
        <w:textAlignment w:val="auto"/>
        <w:outlineLvl w:val="1"/>
        <w:rPr>
          <w:rFonts w:hint="eastAsia" w:ascii="仿宋" w:hAnsi="仿宋" w:eastAsia="仿宋" w:cs="仿宋"/>
          <w:b/>
          <w:bCs/>
          <w:kern w:val="0"/>
          <w:sz w:val="24"/>
        </w:rPr>
      </w:pPr>
      <w:r>
        <w:rPr>
          <w:rFonts w:hint="eastAsia" w:ascii="仿宋" w:hAnsi="仿宋" w:eastAsia="仿宋" w:cs="仿宋"/>
          <w:b/>
          <w:bCs/>
          <w:kern w:val="0"/>
          <w:sz w:val="24"/>
        </w:rPr>
        <w:t>任务来源</w:t>
      </w:r>
    </w:p>
    <w:p w14:paraId="50B40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w:t>
      </w:r>
      <w:r>
        <w:rPr>
          <w:rFonts w:hint="eastAsia" w:ascii="仿宋" w:hAnsi="仿宋" w:eastAsia="仿宋" w:cs="仿宋"/>
          <w:color w:val="000000" w:themeColor="text1"/>
          <w:sz w:val="24"/>
          <w:szCs w:val="24"/>
          <w:lang w:val="en-US" w:eastAsia="zh-CN"/>
          <w14:textFill>
            <w14:solidFill>
              <w14:schemeClr w14:val="tx1"/>
            </w14:solidFill>
          </w14:textFill>
        </w:rPr>
        <w:t>19</w:t>
      </w:r>
      <w:r>
        <w:rPr>
          <w:rFonts w:hint="eastAsia" w:ascii="仿宋" w:hAnsi="仿宋" w:eastAsia="仿宋" w:cs="仿宋"/>
          <w:color w:val="000000" w:themeColor="text1"/>
          <w:sz w:val="24"/>
          <w:szCs w:val="24"/>
          <w14:textFill>
            <w14:solidFill>
              <w14:schemeClr w14:val="tx1"/>
            </w14:solidFill>
          </w14:textFill>
        </w:rPr>
        <w:t>年12月，团体标准T</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SPSTS 010—2019《锂离子电池储能系统功能安全规范》由深圳市电源技术学会正式发布。该团体标准经过实施应用，基于充分的实施应用和行业发展需求，</w:t>
      </w:r>
      <w:r>
        <w:rPr>
          <w:rFonts w:hint="eastAsia" w:ascii="仿宋" w:hAnsi="仿宋" w:eastAsia="仿宋" w:cs="仿宋"/>
          <w:sz w:val="24"/>
        </w:rPr>
        <w:t>2023年2月，由</w:t>
      </w:r>
      <w:r>
        <w:rPr>
          <w:rFonts w:hint="eastAsia" w:ascii="仿宋" w:hAnsi="仿宋" w:eastAsia="仿宋" w:cs="仿宋"/>
          <w:color w:val="000000" w:themeColor="text1"/>
          <w:sz w:val="24"/>
          <w:szCs w:val="24"/>
          <w14:textFill>
            <w14:solidFill>
              <w14:schemeClr w14:val="tx1"/>
            </w14:solidFill>
          </w14:textFill>
        </w:rPr>
        <w:t>清华大学深圳国际研究生院、深圳市清新电源技术学会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欣旺达电子股份有限公司</w:t>
      </w:r>
      <w:r>
        <w:rPr>
          <w:rFonts w:hint="eastAsia" w:ascii="仿宋" w:hAnsi="仿宋" w:eastAsia="仿宋" w:cs="仿宋"/>
          <w:sz w:val="24"/>
          <w:lang w:eastAsia="zh-CN"/>
        </w:rPr>
        <w:t>共同</w:t>
      </w:r>
      <w:r>
        <w:rPr>
          <w:rFonts w:hint="eastAsia" w:ascii="仿宋" w:hAnsi="仿宋" w:eastAsia="仿宋" w:cs="仿宋"/>
          <w:sz w:val="24"/>
        </w:rPr>
        <w:t>向深圳市市场监督管理局申报深圳市地方标准，2023年5月，深圳市市场监督管理局发布了《关于下达2023年深圳市地方标准计划项目任务的通知》，深圳市地方标准《</w:t>
      </w:r>
      <w:r>
        <w:rPr>
          <w:rFonts w:hint="eastAsia" w:ascii="仿宋" w:hAnsi="仿宋" w:eastAsia="仿宋" w:cs="仿宋"/>
          <w:color w:val="000000" w:themeColor="text1"/>
          <w:sz w:val="24"/>
          <w:szCs w:val="24"/>
          <w14:textFill>
            <w14:solidFill>
              <w14:schemeClr w14:val="tx1"/>
            </w14:solidFill>
          </w14:textFill>
        </w:rPr>
        <w:t>锂离子电池储能系统功能安全规范</w:t>
      </w:r>
      <w:r>
        <w:rPr>
          <w:rFonts w:hint="eastAsia" w:ascii="仿宋" w:hAnsi="仿宋" w:eastAsia="仿宋" w:cs="仿宋"/>
          <w:sz w:val="24"/>
        </w:rPr>
        <w:t>》成功立项（项目序号</w:t>
      </w:r>
      <w:r>
        <w:rPr>
          <w:rFonts w:hint="eastAsia" w:ascii="仿宋" w:hAnsi="仿宋" w:eastAsia="仿宋" w:cs="仿宋"/>
          <w:sz w:val="24"/>
          <w:lang w:val="en-US" w:eastAsia="zh-CN"/>
        </w:rPr>
        <w:t>7</w:t>
      </w:r>
      <w:r>
        <w:rPr>
          <w:rFonts w:hint="eastAsia" w:ascii="仿宋" w:hAnsi="仿宋" w:eastAsia="仿宋" w:cs="仿宋"/>
          <w:sz w:val="24"/>
        </w:rPr>
        <w:t>）。</w:t>
      </w:r>
    </w:p>
    <w:p w14:paraId="74BB2E0D">
      <w:pPr>
        <w:keepNext w:val="0"/>
        <w:keepLines w:val="0"/>
        <w:pageBreakBefore w:val="0"/>
        <w:widowControl/>
        <w:numPr>
          <w:ilvl w:val="0"/>
          <w:numId w:val="4"/>
        </w:numPr>
        <w:kinsoku/>
        <w:wordWrap/>
        <w:overflowPunct/>
        <w:topLinePunct w:val="0"/>
        <w:autoSpaceDE/>
        <w:autoSpaceDN/>
        <w:bidi w:val="0"/>
        <w:adjustRightInd/>
        <w:snapToGrid/>
        <w:spacing w:before="157" w:beforeLines="50" w:after="156" w:afterLines="50" w:line="360" w:lineRule="auto"/>
        <w:ind w:left="0" w:leftChars="0" w:right="0" w:firstLine="0" w:firstLineChars="0"/>
        <w:textAlignment w:val="auto"/>
        <w:outlineLvl w:val="1"/>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主要编制过程</w:t>
      </w:r>
    </w:p>
    <w:p w14:paraId="2B8CE493">
      <w:pPr>
        <w:widowControl/>
        <w:numPr>
          <w:ilvl w:val="0"/>
          <w:numId w:val="5"/>
        </w:numPr>
        <w:spacing w:line="360" w:lineRule="auto"/>
        <w:ind w:left="425" w:leftChars="0" w:right="166" w:hanging="425" w:firstLineChars="0"/>
        <w:outlineLvl w:val="2"/>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前期准备</w:t>
      </w:r>
    </w:p>
    <w:p w14:paraId="6FFDA1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按照《深圳市地方标准管理办法》及本标准制修订计划进度的要求，深圳市电源技术学会秘书处组织成立</w:t>
      </w:r>
      <w:r>
        <w:rPr>
          <w:rFonts w:hint="eastAsia" w:ascii="仿宋" w:hAnsi="仿宋" w:eastAsia="仿宋" w:cs="仿宋"/>
          <w:sz w:val="24"/>
          <w:szCs w:val="24"/>
          <w:lang w:eastAsia="zh-CN"/>
        </w:rPr>
        <w:t>了</w:t>
      </w:r>
      <w:r>
        <w:rPr>
          <w:rFonts w:hint="eastAsia" w:ascii="仿宋" w:hAnsi="仿宋" w:eastAsia="仿宋" w:cs="仿宋"/>
          <w:sz w:val="24"/>
          <w:szCs w:val="24"/>
        </w:rPr>
        <w:t>标准起草工作组</w:t>
      </w:r>
      <w:r>
        <w:rPr>
          <w:rFonts w:hint="eastAsia" w:ascii="仿宋" w:hAnsi="仿宋" w:eastAsia="仿宋" w:cs="仿宋"/>
          <w:sz w:val="24"/>
          <w:szCs w:val="24"/>
          <w:lang w:val="en-US" w:eastAsia="zh-CN"/>
        </w:rPr>
        <w:t>，</w:t>
      </w:r>
      <w:r>
        <w:rPr>
          <w:rFonts w:hint="eastAsia" w:ascii="仿宋" w:hAnsi="仿宋" w:eastAsia="仿宋" w:cs="仿宋"/>
          <w:sz w:val="24"/>
          <w:szCs w:val="24"/>
        </w:rPr>
        <w:t>组织调研了</w:t>
      </w:r>
      <w:r>
        <w:rPr>
          <w:rFonts w:hint="eastAsia" w:ascii="仿宋" w:hAnsi="仿宋" w:eastAsia="仿宋" w:cs="仿宋"/>
          <w:color w:val="000000" w:themeColor="text1"/>
          <w:sz w:val="24"/>
          <w:szCs w:val="24"/>
          <w14:textFill>
            <w14:solidFill>
              <w14:schemeClr w14:val="tx1"/>
            </w14:solidFill>
          </w14:textFill>
        </w:rPr>
        <w:t>锂离子电池储能系统</w:t>
      </w:r>
      <w:r>
        <w:rPr>
          <w:rFonts w:hint="eastAsia" w:ascii="仿宋" w:hAnsi="仿宋" w:eastAsia="仿宋" w:cs="仿宋"/>
          <w:color w:val="000000" w:themeColor="text1"/>
          <w:sz w:val="24"/>
          <w:szCs w:val="24"/>
          <w:lang w:eastAsia="zh-CN"/>
          <w14:textFill>
            <w14:solidFill>
              <w14:schemeClr w14:val="tx1"/>
            </w14:solidFill>
          </w14:textFill>
        </w:rPr>
        <w:t>现有技术和行业</w:t>
      </w:r>
      <w:r>
        <w:rPr>
          <w:rFonts w:hint="eastAsia" w:ascii="仿宋" w:hAnsi="仿宋" w:eastAsia="仿宋" w:cs="仿宋"/>
          <w:sz w:val="24"/>
          <w:szCs w:val="24"/>
        </w:rPr>
        <w:t>市场，收集了有关资料，</w:t>
      </w:r>
      <w:r>
        <w:rPr>
          <w:rFonts w:hint="eastAsia" w:ascii="仿宋" w:hAnsi="仿宋" w:eastAsia="仿宋" w:cs="仿宋"/>
          <w:sz w:val="24"/>
          <w:szCs w:val="24"/>
          <w:lang w:eastAsia="zh-CN"/>
        </w:rPr>
        <w:t>在团</w:t>
      </w:r>
      <w:r>
        <w:rPr>
          <w:rFonts w:hint="eastAsia" w:ascii="仿宋" w:hAnsi="仿宋" w:eastAsia="仿宋" w:cs="仿宋"/>
          <w:sz w:val="24"/>
          <w:szCs w:val="24"/>
        </w:rPr>
        <w:t>体标准</w:t>
      </w:r>
      <w:r>
        <w:rPr>
          <w:rFonts w:hint="eastAsia" w:ascii="仿宋" w:hAnsi="仿宋" w:eastAsia="仿宋" w:cs="仿宋"/>
          <w:color w:val="000000" w:themeColor="text1"/>
          <w:sz w:val="24"/>
          <w:szCs w:val="24"/>
          <w14:textFill>
            <w14:solidFill>
              <w14:schemeClr w14:val="tx1"/>
            </w14:solidFill>
          </w14:textFill>
        </w:rPr>
        <w:t>T</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SPSTS 010—2019《锂离子电池储能系统功能安全规范》</w:t>
      </w:r>
      <w:r>
        <w:rPr>
          <w:rFonts w:hint="eastAsia" w:ascii="仿宋" w:hAnsi="仿宋" w:eastAsia="仿宋" w:cs="仿宋"/>
          <w:sz w:val="24"/>
          <w:szCs w:val="24"/>
        </w:rPr>
        <w:t>实施应用</w:t>
      </w:r>
      <w:r>
        <w:rPr>
          <w:rFonts w:hint="eastAsia" w:ascii="仿宋" w:hAnsi="仿宋" w:eastAsia="仿宋" w:cs="仿宋"/>
          <w:sz w:val="24"/>
          <w:szCs w:val="24"/>
          <w:lang w:eastAsia="zh-CN"/>
        </w:rPr>
        <w:t>基础上，</w:t>
      </w:r>
      <w:r>
        <w:rPr>
          <w:rFonts w:hint="eastAsia" w:ascii="仿宋" w:hAnsi="仿宋" w:eastAsia="仿宋" w:cs="仿宋"/>
          <w:sz w:val="24"/>
          <w:szCs w:val="24"/>
        </w:rPr>
        <w:t>对</w:t>
      </w:r>
      <w:r>
        <w:rPr>
          <w:rFonts w:hint="eastAsia" w:ascii="仿宋" w:hAnsi="仿宋" w:eastAsia="仿宋" w:cs="仿宋"/>
          <w:color w:val="000000" w:themeColor="text1"/>
          <w:sz w:val="24"/>
          <w:szCs w:val="24"/>
          <w14:textFill>
            <w14:solidFill>
              <w14:schemeClr w14:val="tx1"/>
            </w14:solidFill>
          </w14:textFill>
        </w:rPr>
        <w:t>锂离子电池储能系统</w:t>
      </w:r>
      <w:r>
        <w:rPr>
          <w:rFonts w:hint="eastAsia" w:ascii="仿宋" w:hAnsi="仿宋" w:eastAsia="仿宋" w:cs="仿宋"/>
          <w:color w:val="000000" w:themeColor="text1"/>
          <w:sz w:val="24"/>
          <w:szCs w:val="24"/>
          <w:lang w:eastAsia="zh-CN"/>
          <w14:textFill>
            <w14:solidFill>
              <w14:schemeClr w14:val="tx1"/>
            </w14:solidFill>
          </w14:textFill>
        </w:rPr>
        <w:t>安全功能</w:t>
      </w:r>
      <w:r>
        <w:rPr>
          <w:rFonts w:hint="eastAsia" w:ascii="仿宋" w:hAnsi="仿宋" w:eastAsia="仿宋" w:cs="仿宋"/>
          <w:sz w:val="24"/>
          <w:szCs w:val="24"/>
        </w:rPr>
        <w:t>进行了分析、比较和验证等，为标准编制奠定良好的工作基础。</w:t>
      </w:r>
    </w:p>
    <w:p w14:paraId="2DD4B8D2">
      <w:pPr>
        <w:widowControl/>
        <w:numPr>
          <w:ilvl w:val="0"/>
          <w:numId w:val="5"/>
        </w:numPr>
        <w:spacing w:line="360" w:lineRule="auto"/>
        <w:ind w:left="425" w:leftChars="0" w:right="166" w:hanging="425" w:firstLineChars="0"/>
        <w:outlineLvl w:val="2"/>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立项阶段</w:t>
      </w:r>
    </w:p>
    <w:p w14:paraId="229E36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w:t>
      </w:r>
      <w:r>
        <w:rPr>
          <w:rFonts w:hint="eastAsia" w:ascii="仿宋" w:hAnsi="仿宋" w:eastAsia="仿宋" w:cs="仿宋"/>
          <w:sz w:val="24"/>
          <w:szCs w:val="24"/>
          <w:lang w:val="en-US" w:eastAsia="zh-CN"/>
        </w:rPr>
        <w:t>23</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月，本</w:t>
      </w:r>
      <w:r>
        <w:rPr>
          <w:rFonts w:hint="eastAsia" w:ascii="仿宋" w:hAnsi="仿宋" w:eastAsia="仿宋" w:cs="仿宋"/>
          <w:sz w:val="24"/>
          <w:szCs w:val="24"/>
          <w:lang w:eastAsia="zh-CN"/>
        </w:rPr>
        <w:t>文件</w:t>
      </w:r>
      <w:r>
        <w:rPr>
          <w:rFonts w:hint="eastAsia" w:ascii="仿宋" w:hAnsi="仿宋" w:eastAsia="仿宋" w:cs="仿宋"/>
          <w:sz w:val="24"/>
          <w:szCs w:val="24"/>
        </w:rPr>
        <w:t>标准起草工作组向</w:t>
      </w:r>
      <w:r>
        <w:rPr>
          <w:rFonts w:hint="eastAsia" w:ascii="仿宋" w:hAnsi="仿宋" w:eastAsia="仿宋" w:cs="仿宋"/>
          <w:sz w:val="24"/>
        </w:rPr>
        <w:t>深圳市市场监督管理局</w:t>
      </w:r>
      <w:r>
        <w:rPr>
          <w:rFonts w:hint="eastAsia" w:ascii="仿宋" w:hAnsi="仿宋" w:eastAsia="仿宋" w:cs="仿宋"/>
          <w:sz w:val="24"/>
          <w:szCs w:val="24"/>
        </w:rPr>
        <w:t>申请立项。</w:t>
      </w:r>
    </w:p>
    <w:p w14:paraId="0518CA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2023年5月8日，深圳市市场监督管理局发布了《</w:t>
      </w:r>
      <w:r>
        <w:rPr>
          <w:rFonts w:hint="eastAsia" w:ascii="仿宋" w:hAnsi="仿宋" w:eastAsia="仿宋" w:cs="仿宋"/>
          <w:sz w:val="24"/>
        </w:rPr>
        <w:t>关于下达2023年深圳市地方标准计划项目任务的通知》，本文件正式立项</w:t>
      </w:r>
      <w:r>
        <w:rPr>
          <w:rFonts w:hint="eastAsia" w:ascii="仿宋" w:hAnsi="仿宋" w:eastAsia="仿宋" w:cs="仿宋"/>
          <w:sz w:val="24"/>
          <w:szCs w:val="24"/>
          <w:lang w:val="en-US" w:eastAsia="zh-CN"/>
        </w:rPr>
        <w:t>。</w:t>
      </w:r>
    </w:p>
    <w:p w14:paraId="2F70FE7A">
      <w:pPr>
        <w:widowControl/>
        <w:numPr>
          <w:ilvl w:val="0"/>
          <w:numId w:val="5"/>
        </w:numPr>
        <w:spacing w:line="360" w:lineRule="auto"/>
        <w:ind w:left="425" w:leftChars="0" w:right="166" w:hanging="425" w:firstLineChars="0"/>
        <w:outlineLvl w:val="2"/>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起草研讨阶段</w:t>
      </w:r>
    </w:p>
    <w:p w14:paraId="2956869A">
      <w:pPr>
        <w:spacing w:line="360" w:lineRule="auto"/>
        <w:ind w:firstLine="480" w:firstLineChars="200"/>
        <w:rPr>
          <w:rFonts w:ascii="仿宋" w:hAnsi="仿宋" w:eastAsia="仿宋" w:cs="仿宋"/>
          <w:sz w:val="24"/>
        </w:rPr>
      </w:pPr>
      <w:r>
        <w:rPr>
          <w:rFonts w:hint="eastAsia" w:ascii="仿宋" w:hAnsi="仿宋" w:eastAsia="仿宋" w:cs="仿宋"/>
          <w:sz w:val="24"/>
        </w:rPr>
        <w:t>2023年5月</w:t>
      </w:r>
      <w:bookmarkStart w:id="1" w:name="OLE_LINK6"/>
      <w:r>
        <w:rPr>
          <w:rFonts w:hint="eastAsia" w:ascii="仿宋" w:hAnsi="仿宋" w:eastAsia="仿宋" w:cs="仿宋"/>
          <w:sz w:val="24"/>
        </w:rPr>
        <w:t>～</w:t>
      </w:r>
      <w:bookmarkEnd w:id="1"/>
      <w:r>
        <w:rPr>
          <w:rFonts w:hint="eastAsia" w:ascii="仿宋" w:hAnsi="仿宋" w:eastAsia="仿宋" w:cs="仿宋"/>
          <w:sz w:val="24"/>
        </w:rPr>
        <w:t>9月，标准起草工作组在前期准备工作基础上，充分调研需求，结合</w:t>
      </w:r>
      <w:r>
        <w:rPr>
          <w:rFonts w:hint="eastAsia" w:ascii="仿宋" w:hAnsi="仿宋" w:eastAsia="仿宋" w:cs="仿宋"/>
          <w:color w:val="000000" w:themeColor="text1"/>
          <w:sz w:val="24"/>
          <w:szCs w:val="24"/>
          <w14:textFill>
            <w14:solidFill>
              <w14:schemeClr w14:val="tx1"/>
            </w14:solidFill>
          </w14:textFill>
        </w:rPr>
        <w:t>锂离子电池储能系统</w:t>
      </w:r>
      <w:r>
        <w:rPr>
          <w:rFonts w:hint="eastAsia" w:ascii="仿宋" w:hAnsi="仿宋" w:eastAsia="仿宋" w:cs="仿宋"/>
          <w:color w:val="000000" w:themeColor="text1"/>
          <w:sz w:val="24"/>
          <w:szCs w:val="24"/>
          <w:lang w:eastAsia="zh-CN"/>
          <w14:textFill>
            <w14:solidFill>
              <w14:schemeClr w14:val="tx1"/>
            </w14:solidFill>
          </w14:textFill>
        </w:rPr>
        <w:t>安全功能</w:t>
      </w:r>
      <w:r>
        <w:rPr>
          <w:rFonts w:hint="eastAsia" w:ascii="仿宋" w:hAnsi="仿宋" w:eastAsia="仿宋" w:cs="仿宋"/>
          <w:sz w:val="24"/>
        </w:rPr>
        <w:t>实际情况，经过多次修改及讨论，形成标准</w:t>
      </w:r>
      <w:r>
        <w:rPr>
          <w:rFonts w:hint="eastAsia" w:ascii="仿宋" w:hAnsi="仿宋" w:eastAsia="仿宋" w:cs="仿宋"/>
          <w:sz w:val="24"/>
          <w:lang w:eastAsia="zh-CN"/>
        </w:rPr>
        <w:t>研讨第一稿</w:t>
      </w:r>
      <w:r>
        <w:rPr>
          <w:rFonts w:hint="eastAsia" w:ascii="仿宋" w:hAnsi="仿宋" w:eastAsia="仿宋" w:cs="仿宋"/>
          <w:sz w:val="24"/>
        </w:rPr>
        <w:t>。</w:t>
      </w:r>
    </w:p>
    <w:p w14:paraId="69D1A189">
      <w:pPr>
        <w:spacing w:line="360" w:lineRule="auto"/>
        <w:ind w:firstLine="480" w:firstLineChars="200"/>
        <w:rPr>
          <w:rFonts w:ascii="仿宋" w:hAnsi="仿宋" w:eastAsia="仿宋" w:cs="仿宋"/>
          <w:sz w:val="24"/>
        </w:rPr>
      </w:pPr>
      <w:r>
        <w:rPr>
          <w:rFonts w:hint="eastAsia" w:ascii="仿宋" w:hAnsi="仿宋" w:eastAsia="仿宋" w:cs="仿宋"/>
          <w:sz w:val="24"/>
        </w:rPr>
        <w:t>2023年10月24日，标准起草工作组在深圳市电源技术学会理事单位中国人民财产保险股份有限公司深圳市分公司成功召开深圳市地方标准《锂离子电池储能系统功能安全规范》编制启动会暨第一次工作会议。会上，标准起草工作组负责人就编制情况进行汇报，与会专家对标准内容进行了深入探讨。</w:t>
      </w:r>
    </w:p>
    <w:p w14:paraId="32C7415E">
      <w:pPr>
        <w:spacing w:line="360" w:lineRule="auto"/>
        <w:ind w:firstLine="480" w:firstLineChars="200"/>
        <w:rPr>
          <w:rFonts w:hint="eastAsia" w:ascii="仿宋" w:hAnsi="仿宋" w:eastAsia="仿宋" w:cs="仿宋"/>
          <w:sz w:val="24"/>
        </w:rPr>
      </w:pPr>
      <w:r>
        <w:rPr>
          <w:rFonts w:hint="eastAsia" w:ascii="仿宋" w:hAnsi="仿宋" w:eastAsia="仿宋" w:cs="仿宋"/>
          <w:sz w:val="24"/>
        </w:rPr>
        <w:t>2023年11月～2024年</w:t>
      </w:r>
      <w:r>
        <w:rPr>
          <w:rFonts w:hint="eastAsia" w:ascii="仿宋" w:hAnsi="仿宋" w:eastAsia="仿宋" w:cs="仿宋"/>
          <w:sz w:val="24"/>
          <w:lang w:val="en-US" w:eastAsia="zh-CN"/>
        </w:rPr>
        <w:t>5</w:t>
      </w:r>
      <w:r>
        <w:rPr>
          <w:rFonts w:hint="eastAsia" w:ascii="仿宋" w:hAnsi="仿宋" w:eastAsia="仿宋" w:cs="仿宋"/>
          <w:sz w:val="24"/>
        </w:rPr>
        <w:t>月，标准起草工作组根据会议讨论情况，同步调研相关</w:t>
      </w:r>
      <w:r>
        <w:rPr>
          <w:rFonts w:hint="eastAsia" w:ascii="仿宋" w:hAnsi="仿宋" w:eastAsia="仿宋" w:cs="仿宋"/>
          <w:sz w:val="24"/>
          <w:lang w:eastAsia="zh-CN"/>
        </w:rPr>
        <w:t>电池与储能</w:t>
      </w:r>
      <w:r>
        <w:rPr>
          <w:rFonts w:hint="eastAsia" w:ascii="仿宋" w:hAnsi="仿宋" w:eastAsia="仿宋" w:cs="仿宋"/>
          <w:sz w:val="24"/>
        </w:rPr>
        <w:t>企业</w:t>
      </w:r>
      <w:r>
        <w:rPr>
          <w:rFonts w:hint="eastAsia" w:ascii="仿宋" w:hAnsi="仿宋" w:eastAsia="仿宋" w:cs="仿宋"/>
          <w:sz w:val="24"/>
          <w:lang w:eastAsia="zh-CN"/>
        </w:rPr>
        <w:t>储能系统功能安全</w:t>
      </w:r>
      <w:r>
        <w:rPr>
          <w:rFonts w:hint="eastAsia" w:ascii="仿宋" w:hAnsi="仿宋" w:eastAsia="仿宋" w:cs="仿宋"/>
          <w:sz w:val="24"/>
        </w:rPr>
        <w:t>技术现状，修改完善形成标准</w:t>
      </w:r>
      <w:r>
        <w:rPr>
          <w:rFonts w:hint="eastAsia" w:ascii="仿宋" w:hAnsi="仿宋" w:eastAsia="仿宋" w:cs="仿宋"/>
          <w:sz w:val="24"/>
          <w:lang w:eastAsia="zh-CN"/>
        </w:rPr>
        <w:t>研讨</w:t>
      </w:r>
      <w:r>
        <w:rPr>
          <w:rFonts w:hint="eastAsia" w:ascii="仿宋" w:hAnsi="仿宋" w:eastAsia="仿宋" w:cs="仿宋"/>
          <w:sz w:val="24"/>
        </w:rPr>
        <w:t>第</w:t>
      </w:r>
      <w:r>
        <w:rPr>
          <w:rFonts w:hint="eastAsia" w:ascii="仿宋" w:hAnsi="仿宋" w:eastAsia="仿宋" w:cs="仿宋"/>
          <w:sz w:val="24"/>
          <w:lang w:eastAsia="zh-CN"/>
        </w:rPr>
        <w:t>二</w:t>
      </w:r>
      <w:r>
        <w:rPr>
          <w:rFonts w:hint="eastAsia" w:ascii="仿宋" w:hAnsi="仿宋" w:eastAsia="仿宋" w:cs="仿宋"/>
          <w:sz w:val="24"/>
        </w:rPr>
        <w:t>稿。</w:t>
      </w:r>
    </w:p>
    <w:p w14:paraId="37AA051E">
      <w:pPr>
        <w:spacing w:line="360" w:lineRule="auto"/>
        <w:ind w:firstLine="480" w:firstLineChars="200"/>
        <w:rPr>
          <w:rFonts w:hint="eastAsia"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5</w:t>
      </w:r>
      <w:r>
        <w:rPr>
          <w:rFonts w:hint="eastAsia" w:ascii="仿宋" w:hAnsi="仿宋" w:eastAsia="仿宋" w:cs="仿宋"/>
          <w:sz w:val="24"/>
        </w:rPr>
        <w:t>月～2024年</w:t>
      </w:r>
      <w:r>
        <w:rPr>
          <w:rFonts w:hint="eastAsia" w:ascii="仿宋" w:hAnsi="仿宋" w:eastAsia="仿宋" w:cs="仿宋"/>
          <w:sz w:val="24"/>
          <w:lang w:val="en-US" w:eastAsia="zh-CN"/>
        </w:rPr>
        <w:t>12</w:t>
      </w:r>
      <w:r>
        <w:rPr>
          <w:rFonts w:hint="eastAsia" w:ascii="仿宋" w:hAnsi="仿宋" w:eastAsia="仿宋" w:cs="仿宋"/>
          <w:sz w:val="24"/>
        </w:rPr>
        <w:t>月，标准起草工作组</w:t>
      </w:r>
      <w:r>
        <w:rPr>
          <w:rFonts w:hint="eastAsia" w:ascii="仿宋" w:hAnsi="仿宋" w:eastAsia="仿宋" w:cs="仿宋"/>
          <w:sz w:val="24"/>
          <w:lang w:eastAsia="zh-CN"/>
        </w:rPr>
        <w:t>定向征求了</w:t>
      </w:r>
      <w:r>
        <w:rPr>
          <w:rFonts w:hint="eastAsia" w:ascii="仿宋" w:hAnsi="仿宋" w:eastAsia="仿宋" w:cs="仿宋"/>
          <w:sz w:val="24"/>
          <w:lang w:val="en-US" w:eastAsia="zh-CN"/>
        </w:rPr>
        <w:t>深圳市吉阳智能科技有限公司、深圳市科陆电子科技股份有限公司、北京燕开新源科技有限公司、中国质量认证中心（CQC）、深圳天溯计量检测股份有限公司、TÜV南德意志集团、中国汽车工程研究院股份有限公司、深圳卧龙储能技术有限公司等单位专家意见，</w:t>
      </w:r>
      <w:r>
        <w:rPr>
          <w:rFonts w:hint="eastAsia" w:ascii="仿宋" w:hAnsi="仿宋" w:eastAsia="仿宋" w:cs="仿宋"/>
          <w:sz w:val="24"/>
        </w:rPr>
        <w:t>根据</w:t>
      </w:r>
      <w:r>
        <w:rPr>
          <w:rFonts w:hint="eastAsia" w:ascii="仿宋" w:hAnsi="仿宋" w:eastAsia="仿宋" w:cs="仿宋"/>
          <w:sz w:val="24"/>
          <w:lang w:eastAsia="zh-CN"/>
        </w:rPr>
        <w:t>专家反馈</w:t>
      </w:r>
      <w:r>
        <w:rPr>
          <w:rFonts w:hint="eastAsia" w:ascii="仿宋" w:hAnsi="仿宋" w:eastAsia="仿宋" w:cs="仿宋"/>
          <w:sz w:val="24"/>
        </w:rPr>
        <w:t>情况，</w:t>
      </w:r>
      <w:r>
        <w:rPr>
          <w:rFonts w:hint="eastAsia" w:ascii="仿宋" w:hAnsi="仿宋" w:eastAsia="仿宋" w:cs="仿宋"/>
          <w:sz w:val="24"/>
          <w:lang w:eastAsia="zh-CN"/>
        </w:rPr>
        <w:t>多次组织内部研讨会</w:t>
      </w:r>
      <w:r>
        <w:rPr>
          <w:rFonts w:hint="eastAsia" w:ascii="仿宋" w:hAnsi="仿宋" w:eastAsia="仿宋" w:cs="仿宋"/>
          <w:sz w:val="24"/>
        </w:rPr>
        <w:t>，修改完善形成标准</w:t>
      </w:r>
      <w:r>
        <w:rPr>
          <w:rFonts w:hint="eastAsia" w:ascii="仿宋" w:hAnsi="仿宋" w:eastAsia="仿宋" w:cs="仿宋"/>
          <w:sz w:val="24"/>
          <w:lang w:eastAsia="zh-CN"/>
        </w:rPr>
        <w:t>征求意见</w:t>
      </w:r>
      <w:r>
        <w:rPr>
          <w:rFonts w:hint="eastAsia" w:ascii="仿宋" w:hAnsi="仿宋" w:eastAsia="仿宋" w:cs="仿宋"/>
          <w:sz w:val="24"/>
        </w:rPr>
        <w:t>第</w:t>
      </w:r>
      <w:r>
        <w:rPr>
          <w:rFonts w:hint="eastAsia" w:ascii="仿宋" w:hAnsi="仿宋" w:eastAsia="仿宋" w:cs="仿宋"/>
          <w:sz w:val="24"/>
          <w:lang w:eastAsia="zh-CN"/>
        </w:rPr>
        <w:t>一</w:t>
      </w:r>
      <w:r>
        <w:rPr>
          <w:rFonts w:hint="eastAsia" w:ascii="仿宋" w:hAnsi="仿宋" w:eastAsia="仿宋" w:cs="仿宋"/>
          <w:sz w:val="24"/>
        </w:rPr>
        <w:t>稿。</w:t>
      </w:r>
    </w:p>
    <w:p w14:paraId="12DE160E">
      <w:pPr>
        <w:spacing w:line="360" w:lineRule="auto"/>
        <w:ind w:firstLine="480" w:firstLineChars="200"/>
        <w:rPr>
          <w:rFonts w:hint="eastAsia" w:ascii="仿宋" w:hAnsi="仿宋" w:eastAsia="仿宋" w:cs="仿宋"/>
          <w:sz w:val="24"/>
        </w:rPr>
      </w:pPr>
      <w:r>
        <w:rPr>
          <w:rFonts w:hint="eastAsia" w:ascii="仿宋" w:hAnsi="仿宋" w:eastAsia="仿宋" w:cs="仿宋"/>
          <w:sz w:val="24"/>
        </w:rPr>
        <w:t>2025年1月14日，深圳市电源技术学会在清华大学深圳国际研究生院能源与环境大楼403会议室组织召开了深圳市地方标准《锂离子电池储能系统的功能安全规范》第二次研讨会。来自清华大学深圳国际研究生院、欣旺达电子股份有限公司、中国人民财产保险股份有限公司深圳市分公司、深圳海辰储能科技有限公司、禹创半导体（深圳）有限公司、中国矿业大学深圳研究院、国家防爆设备质量监督检验中心、深圳市标准技术研究院、交通运输部水运科学研究院、东莞新能源科技有限公司、深圳市科陆电子科技股份有限公司、深圳天溯计量检测股份有限公司等10余家单位专家代表参与本次会议</w:t>
      </w:r>
      <w:r>
        <w:rPr>
          <w:rFonts w:hint="eastAsia" w:ascii="仿宋" w:hAnsi="仿宋" w:eastAsia="仿宋" w:cs="仿宋"/>
          <w:sz w:val="24"/>
          <w:lang w:eastAsia="zh-CN"/>
        </w:rPr>
        <w:t>。</w:t>
      </w:r>
      <w:r>
        <w:rPr>
          <w:rFonts w:hint="eastAsia" w:ascii="仿宋" w:hAnsi="仿宋" w:eastAsia="仿宋" w:cs="仿宋"/>
          <w:sz w:val="24"/>
        </w:rPr>
        <w:t>根据</w:t>
      </w:r>
      <w:r>
        <w:rPr>
          <w:rFonts w:hint="eastAsia" w:ascii="仿宋" w:hAnsi="仿宋" w:eastAsia="仿宋" w:cs="仿宋"/>
          <w:sz w:val="24"/>
          <w:lang w:eastAsia="zh-CN"/>
        </w:rPr>
        <w:t>会议提出意见</w:t>
      </w:r>
      <w:r>
        <w:rPr>
          <w:rFonts w:hint="eastAsia" w:ascii="仿宋" w:hAnsi="仿宋" w:eastAsia="仿宋" w:cs="仿宋"/>
          <w:sz w:val="24"/>
        </w:rPr>
        <w:t>，修改完善形成标准</w:t>
      </w:r>
      <w:r>
        <w:rPr>
          <w:rFonts w:hint="eastAsia" w:ascii="仿宋" w:hAnsi="仿宋" w:eastAsia="仿宋" w:cs="仿宋"/>
          <w:sz w:val="24"/>
          <w:lang w:eastAsia="zh-CN"/>
        </w:rPr>
        <w:t>征求意见</w:t>
      </w:r>
      <w:r>
        <w:rPr>
          <w:rFonts w:hint="eastAsia" w:ascii="仿宋" w:hAnsi="仿宋" w:eastAsia="仿宋" w:cs="仿宋"/>
          <w:sz w:val="24"/>
        </w:rPr>
        <w:t>第</w:t>
      </w:r>
      <w:r>
        <w:rPr>
          <w:rFonts w:hint="eastAsia" w:ascii="仿宋" w:hAnsi="仿宋" w:eastAsia="仿宋" w:cs="仿宋"/>
          <w:sz w:val="24"/>
          <w:lang w:eastAsia="zh-CN"/>
        </w:rPr>
        <w:t>二</w:t>
      </w:r>
      <w:r>
        <w:rPr>
          <w:rFonts w:hint="eastAsia" w:ascii="仿宋" w:hAnsi="仿宋" w:eastAsia="仿宋" w:cs="仿宋"/>
          <w:sz w:val="24"/>
        </w:rPr>
        <w:t>稿。</w:t>
      </w:r>
    </w:p>
    <w:p w14:paraId="2C22735E">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ind w:left="0" w:leftChars="0" w:right="0" w:firstLine="0" w:firstLineChars="0"/>
        <w:textAlignment w:val="auto"/>
        <w:outlineLvl w:val="0"/>
        <w:rPr>
          <w:rFonts w:ascii="仿宋" w:hAnsi="仿宋" w:eastAsia="仿宋" w:cs="仿宋"/>
          <w:b/>
          <w:sz w:val="28"/>
          <w:szCs w:val="28"/>
        </w:rPr>
      </w:pPr>
      <w:r>
        <w:rPr>
          <w:rFonts w:hint="eastAsia" w:ascii="仿宋" w:hAnsi="仿宋" w:eastAsia="仿宋" w:cs="仿宋"/>
          <w:b/>
          <w:spacing w:val="-6"/>
          <w:sz w:val="28"/>
          <w:szCs w:val="28"/>
        </w:rPr>
        <w:t>地方标准主要内容的依据以及与国内领先、国际先进标准的对标情况</w:t>
      </w:r>
    </w:p>
    <w:p w14:paraId="2DB29685">
      <w:pPr>
        <w:keepNext w:val="0"/>
        <w:keepLines w:val="0"/>
        <w:pageBreakBefore w:val="0"/>
        <w:widowControl/>
        <w:numPr>
          <w:ilvl w:val="0"/>
          <w:numId w:val="6"/>
        </w:numPr>
        <w:kinsoku/>
        <w:wordWrap/>
        <w:overflowPunct/>
        <w:topLinePunct w:val="0"/>
        <w:autoSpaceDE/>
        <w:autoSpaceDN/>
        <w:bidi w:val="0"/>
        <w:adjustRightInd/>
        <w:snapToGrid/>
        <w:spacing w:after="156" w:afterLines="50" w:line="360" w:lineRule="auto"/>
        <w:ind w:left="0" w:leftChars="0" w:right="0" w:firstLine="0" w:firstLineChars="0"/>
        <w:textAlignment w:val="auto"/>
        <w:outlineLvl w:val="1"/>
        <w:rPr>
          <w:rFonts w:ascii="仿宋" w:hAnsi="仿宋" w:eastAsia="仿宋" w:cs="仿宋"/>
          <w:b/>
          <w:bCs/>
          <w:sz w:val="24"/>
        </w:rPr>
      </w:pPr>
      <w:r>
        <w:rPr>
          <w:rFonts w:hint="eastAsia" w:ascii="仿宋" w:hAnsi="仿宋" w:eastAsia="仿宋" w:cs="仿宋"/>
          <w:b/>
          <w:bCs/>
          <w:sz w:val="24"/>
        </w:rPr>
        <w:t>地方标准主要</w:t>
      </w:r>
      <w:r>
        <w:rPr>
          <w:rFonts w:hint="eastAsia" w:ascii="仿宋" w:hAnsi="仿宋" w:eastAsia="仿宋" w:cs="仿宋"/>
          <w:b/>
          <w:bCs/>
          <w:kern w:val="0"/>
          <w:sz w:val="24"/>
        </w:rPr>
        <w:t>内容</w:t>
      </w:r>
      <w:r>
        <w:rPr>
          <w:rFonts w:hint="eastAsia" w:ascii="仿宋" w:hAnsi="仿宋" w:eastAsia="仿宋" w:cs="仿宋"/>
          <w:b/>
          <w:bCs/>
          <w:sz w:val="24"/>
        </w:rPr>
        <w:t>的依据</w:t>
      </w:r>
    </w:p>
    <w:p w14:paraId="0A2B3249">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本文件规定了锂离子电池储能系统</w:t>
      </w:r>
      <w:r>
        <w:rPr>
          <w:rFonts w:hint="eastAsia" w:ascii="仿宋" w:hAnsi="仿宋" w:eastAsia="仿宋" w:cs="仿宋"/>
          <w:sz w:val="24"/>
          <w:lang w:eastAsia="zh-CN"/>
        </w:rPr>
        <w:t>的</w:t>
      </w:r>
      <w:r>
        <w:rPr>
          <w:rFonts w:hint="eastAsia" w:ascii="仿宋" w:hAnsi="仿宋" w:eastAsia="仿宋" w:cs="仿宋"/>
          <w:sz w:val="24"/>
        </w:rPr>
        <w:t>功能安全目标、功能安全设计验证、风险分析、功能安全保障措施和安全信息提示的内容。本文件适用于家用储能、集装箱式移动储能、电网储能等锂离子电池储能系统。标准主要技术内容依据</w:t>
      </w:r>
      <w:r>
        <w:rPr>
          <w:rFonts w:hint="eastAsia" w:ascii="仿宋" w:hAnsi="仿宋" w:eastAsia="仿宋" w:cs="仿宋"/>
          <w:sz w:val="24"/>
          <w:lang w:val="en-US" w:eastAsia="zh-CN"/>
        </w:rPr>
        <w:t>如下：</w:t>
      </w:r>
    </w:p>
    <w:p w14:paraId="1F6C473E">
      <w:pPr>
        <w:spacing w:line="360" w:lineRule="auto"/>
        <w:ind w:firstLine="480" w:firstLineChars="200"/>
        <w:rPr>
          <w:rFonts w:hint="eastAsia" w:ascii="仿宋" w:hAnsi="仿宋" w:eastAsia="仿宋" w:cs="仿宋"/>
          <w:sz w:val="24"/>
        </w:rPr>
      </w:pPr>
      <w:r>
        <w:rPr>
          <w:rFonts w:hint="eastAsia" w:ascii="仿宋" w:hAnsi="仿宋" w:eastAsia="仿宋" w:cs="仿宋"/>
          <w:sz w:val="24"/>
        </w:rPr>
        <w:t>GB/T 4888  故障树名词术语和符号</w:t>
      </w:r>
    </w:p>
    <w:p w14:paraId="45AB6650">
      <w:pPr>
        <w:spacing w:line="360" w:lineRule="auto"/>
        <w:ind w:firstLine="480" w:firstLineChars="200"/>
        <w:rPr>
          <w:rFonts w:hint="eastAsia" w:ascii="仿宋" w:hAnsi="仿宋" w:eastAsia="仿宋" w:cs="仿宋"/>
          <w:sz w:val="24"/>
        </w:rPr>
      </w:pPr>
      <w:r>
        <w:rPr>
          <w:rFonts w:hint="eastAsia" w:ascii="仿宋" w:hAnsi="仿宋" w:eastAsia="仿宋" w:cs="仿宋"/>
          <w:sz w:val="24"/>
        </w:rPr>
        <w:t>GB/T 7829  故障树分析程序</w:t>
      </w:r>
    </w:p>
    <w:p w14:paraId="322135FA">
      <w:pPr>
        <w:spacing w:line="360" w:lineRule="auto"/>
        <w:ind w:firstLine="480" w:firstLineChars="200"/>
        <w:rPr>
          <w:rFonts w:hint="eastAsia" w:ascii="仿宋" w:hAnsi="仿宋" w:eastAsia="仿宋" w:cs="仿宋"/>
          <w:sz w:val="24"/>
        </w:rPr>
      </w:pPr>
      <w:r>
        <w:rPr>
          <w:rFonts w:hint="eastAsia" w:ascii="仿宋" w:hAnsi="仿宋" w:eastAsia="仿宋" w:cs="仿宋"/>
          <w:sz w:val="24"/>
        </w:rPr>
        <w:t>GB/T 16855.1  机械安全 控制系统安全相关部件  第1部分：设计通则</w:t>
      </w:r>
    </w:p>
    <w:p w14:paraId="1B16F1F4">
      <w:pPr>
        <w:spacing w:line="360" w:lineRule="auto"/>
        <w:ind w:firstLine="480" w:firstLineChars="200"/>
        <w:rPr>
          <w:rFonts w:hint="eastAsia" w:ascii="仿宋" w:hAnsi="仿宋" w:eastAsia="仿宋" w:cs="仿宋"/>
          <w:sz w:val="24"/>
        </w:rPr>
      </w:pPr>
      <w:r>
        <w:rPr>
          <w:rFonts w:hint="eastAsia" w:ascii="仿宋" w:hAnsi="仿宋" w:eastAsia="仿宋" w:cs="仿宋"/>
          <w:sz w:val="24"/>
        </w:rPr>
        <w:t>GB/T 20438（所有部分）  电气/电子/可编程电子安全相关系统的功能安全</w:t>
      </w:r>
    </w:p>
    <w:p w14:paraId="271E7022">
      <w:pPr>
        <w:spacing w:line="360" w:lineRule="auto"/>
        <w:ind w:firstLine="480" w:firstLineChars="200"/>
        <w:rPr>
          <w:rFonts w:hint="eastAsia" w:ascii="仿宋" w:hAnsi="仿宋" w:eastAsia="仿宋" w:cs="仿宋"/>
          <w:sz w:val="24"/>
        </w:rPr>
      </w:pPr>
      <w:r>
        <w:rPr>
          <w:rFonts w:hint="eastAsia" w:ascii="仿宋" w:hAnsi="仿宋" w:eastAsia="仿宋" w:cs="仿宋"/>
          <w:sz w:val="24"/>
        </w:rPr>
        <w:t>DL/T 2528  电力储能基本术语</w:t>
      </w:r>
    </w:p>
    <w:p w14:paraId="022BE1A1">
      <w:pPr>
        <w:keepNext w:val="0"/>
        <w:keepLines w:val="0"/>
        <w:pageBreakBefore w:val="0"/>
        <w:widowControl/>
        <w:numPr>
          <w:ilvl w:val="0"/>
          <w:numId w:val="6"/>
        </w:numPr>
        <w:kinsoku/>
        <w:wordWrap/>
        <w:overflowPunct/>
        <w:topLinePunct w:val="0"/>
        <w:autoSpaceDE/>
        <w:autoSpaceDN/>
        <w:bidi w:val="0"/>
        <w:adjustRightInd/>
        <w:snapToGrid/>
        <w:spacing w:before="157" w:beforeLines="50" w:after="156" w:afterLines="50" w:line="360" w:lineRule="auto"/>
        <w:ind w:left="0" w:leftChars="0" w:right="0" w:firstLine="0" w:firstLineChars="0"/>
        <w:textAlignment w:val="auto"/>
        <w:outlineLvl w:val="1"/>
        <w:rPr>
          <w:rFonts w:hint="eastAsia" w:ascii="仿宋" w:hAnsi="仿宋" w:eastAsia="仿宋" w:cs="仿宋"/>
          <w:b/>
          <w:bCs/>
          <w:sz w:val="24"/>
        </w:rPr>
      </w:pPr>
      <w:r>
        <w:rPr>
          <w:rFonts w:hint="eastAsia" w:ascii="仿宋" w:hAnsi="仿宋" w:eastAsia="仿宋" w:cs="仿宋"/>
          <w:b/>
          <w:bCs/>
          <w:sz w:val="24"/>
        </w:rPr>
        <w:t>与国内</w:t>
      </w:r>
      <w:r>
        <w:rPr>
          <w:rFonts w:hint="eastAsia" w:ascii="仿宋" w:hAnsi="仿宋" w:eastAsia="仿宋" w:cs="仿宋"/>
          <w:b/>
          <w:bCs/>
          <w:sz w:val="24"/>
          <w:lang w:eastAsia="zh-CN"/>
        </w:rPr>
        <w:t>领先</w:t>
      </w:r>
      <w:r>
        <w:rPr>
          <w:rFonts w:hint="eastAsia" w:ascii="仿宋" w:hAnsi="仿宋" w:eastAsia="仿宋" w:cs="仿宋"/>
          <w:b/>
          <w:bCs/>
          <w:sz w:val="24"/>
        </w:rPr>
        <w:t>、国际先进标准的对标情况</w:t>
      </w:r>
    </w:p>
    <w:p w14:paraId="09160E05">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eastAsia="zh-CN"/>
        </w:rPr>
        <w:t>经查询，功能安全相关标准</w:t>
      </w:r>
      <w:r>
        <w:rPr>
          <w:rFonts w:hint="eastAsia" w:ascii="仿宋" w:hAnsi="仿宋" w:eastAsia="仿宋" w:cs="仿宋"/>
          <w:sz w:val="24"/>
          <w:lang w:val="en-US" w:eastAsia="zh-CN"/>
        </w:rPr>
        <w:t>主要是</w:t>
      </w:r>
      <w:r>
        <w:rPr>
          <w:rFonts w:hint="eastAsia" w:ascii="仿宋" w:hAnsi="仿宋" w:eastAsia="仿宋" w:cs="仿宋"/>
          <w:sz w:val="24"/>
        </w:rPr>
        <w:t>GB/T 20438（所有部分）  电气/电子/可编程电子安全相关系统的功能安全</w:t>
      </w:r>
      <w:r>
        <w:rPr>
          <w:rFonts w:hint="eastAsia" w:ascii="仿宋" w:hAnsi="仿宋" w:eastAsia="仿宋" w:cs="仿宋"/>
          <w:sz w:val="24"/>
          <w:lang w:eastAsia="zh-CN"/>
        </w:rPr>
        <w:t>，</w:t>
      </w:r>
      <w:r>
        <w:rPr>
          <w:rFonts w:hint="eastAsia" w:ascii="仿宋" w:hAnsi="仿宋" w:eastAsia="仿宋" w:cs="仿宋"/>
          <w:sz w:val="24"/>
          <w:lang w:val="en-US" w:eastAsia="zh-CN"/>
        </w:rPr>
        <w:t>该标准由IEC 61508 等同采用转化为国家标准，是基础通用的功能安全标准；GB/T 16855（所有部分）  机械安全控制系统安全相关部件，由 ISO 13894等同采用转化为国家标准，是在机械行业领域的功能安全标准；GB/T 34590（所有部分）  道路车辆  功能安全，由ISO 26262修订采用转化为国家标准，是汽车行业领域的功能安全标准。</w:t>
      </w:r>
    </w:p>
    <w:p w14:paraId="00DEE600">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本文件，是基于</w:t>
      </w:r>
      <w:r>
        <w:rPr>
          <w:rFonts w:hint="eastAsia" w:ascii="仿宋" w:hAnsi="仿宋" w:eastAsia="仿宋" w:cs="仿宋"/>
          <w:sz w:val="24"/>
        </w:rPr>
        <w:t>GB/T 20438</w:t>
      </w:r>
      <w:r>
        <w:rPr>
          <w:rFonts w:hint="eastAsia" w:ascii="仿宋" w:hAnsi="仿宋" w:eastAsia="仿宋" w:cs="仿宋"/>
          <w:sz w:val="24"/>
          <w:lang w:val="en-US" w:eastAsia="zh-CN"/>
        </w:rPr>
        <w:t>和GB/T 16855的技术要求，在锂离子电池储能系统功能安全标准。下表为本文件和</w:t>
      </w:r>
      <w:r>
        <w:rPr>
          <w:rFonts w:hint="eastAsia" w:ascii="仿宋" w:hAnsi="仿宋" w:eastAsia="仿宋" w:cs="仿宋"/>
          <w:sz w:val="24"/>
        </w:rPr>
        <w:t>GB/T 20438</w:t>
      </w:r>
      <w:r>
        <w:rPr>
          <w:rFonts w:hint="eastAsia" w:ascii="仿宋" w:hAnsi="仿宋" w:eastAsia="仿宋" w:cs="仿宋"/>
          <w:sz w:val="24"/>
          <w:lang w:val="en-US" w:eastAsia="zh-CN"/>
        </w:rPr>
        <w:t>和GB/T 16855关于安全完整性等级或所需性能等级和残余风险的对应关系。</w:t>
      </w:r>
    </w:p>
    <w:p w14:paraId="0DCC0983">
      <w:pPr>
        <w:pStyle w:val="19"/>
        <w:spacing w:before="156" w:after="156"/>
        <w:rPr>
          <w:rFonts w:hint="eastAsia" w:ascii="仿宋" w:hAnsi="仿宋" w:eastAsia="仿宋" w:cs="仿宋"/>
          <w:sz w:val="24"/>
          <w:lang w:val="en-US" w:eastAsia="zh-CN"/>
        </w:rPr>
      </w:pPr>
      <w:r>
        <w:rPr>
          <w:rFonts w:hint="eastAsia" w:ascii="Times New Roman"/>
        </w:rPr>
        <w:t>安全完整性等级</w:t>
      </w:r>
      <w:r>
        <w:rPr>
          <w:rFonts w:hint="eastAsia" w:ascii="Times New Roman"/>
          <w:lang w:val="en-US" w:eastAsia="zh-CN"/>
        </w:rPr>
        <w:t>和</w:t>
      </w:r>
      <w:r>
        <w:rPr>
          <w:rFonts w:ascii="Times New Roman"/>
        </w:rPr>
        <w:t>残余风险</w:t>
      </w:r>
      <w:r>
        <w:rPr>
          <w:rFonts w:hint="eastAsia" w:ascii="Times New Roman"/>
          <w:lang w:val="en-US" w:eastAsia="zh-CN"/>
        </w:rPr>
        <w:t>对应关系表</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01"/>
        <w:gridCol w:w="2503"/>
        <w:gridCol w:w="2225"/>
        <w:gridCol w:w="1945"/>
      </w:tblGrid>
      <w:tr w14:paraId="75D63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098" w:type="dxa"/>
            <w:gridSpan w:val="2"/>
            <w:tcBorders>
              <w:top w:val="single" w:color="auto" w:sz="8" w:space="0"/>
              <w:bottom w:val="single" w:color="auto" w:sz="8" w:space="0"/>
            </w:tcBorders>
            <w:vAlign w:val="center"/>
          </w:tcPr>
          <w:p w14:paraId="53CDF08F">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功能安全目标</w:t>
            </w:r>
          </w:p>
        </w:tc>
        <w:tc>
          <w:tcPr>
            <w:tcW w:w="4246" w:type="dxa"/>
            <w:gridSpan w:val="2"/>
            <w:tcBorders>
              <w:top w:val="single" w:color="auto" w:sz="8" w:space="0"/>
              <w:bottom w:val="single" w:color="auto" w:sz="8" w:space="0"/>
            </w:tcBorders>
            <w:vAlign w:val="center"/>
          </w:tcPr>
          <w:p w14:paraId="1E9283C7">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残余风险的失效概率</w:t>
            </w:r>
          </w:p>
        </w:tc>
      </w:tr>
      <w:tr w14:paraId="4DAB4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8" w:space="0"/>
            </w:tcBorders>
            <w:vAlign w:val="center"/>
          </w:tcPr>
          <w:p w14:paraId="36FCEAFB">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安全完整性等级</w:t>
            </w:r>
            <w:r>
              <w:rPr>
                <w:color w:val="000000" w:themeColor="text1"/>
                <w:highlight w:val="none"/>
                <w:vertAlign w:val="superscript"/>
                <w14:textFill>
                  <w14:solidFill>
                    <w14:schemeClr w14:val="tx1"/>
                  </w14:solidFill>
                </w14:textFill>
              </w:rPr>
              <w:t>a</w:t>
            </w:r>
          </w:p>
        </w:tc>
        <w:tc>
          <w:tcPr>
            <w:tcW w:w="2551" w:type="dxa"/>
            <w:tcBorders>
              <w:top w:val="single" w:color="auto" w:sz="8" w:space="0"/>
            </w:tcBorders>
            <w:vAlign w:val="center"/>
          </w:tcPr>
          <w:p w14:paraId="1FCF8311">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所需性能等级</w:t>
            </w:r>
            <w:r>
              <w:rPr>
                <w:rFonts w:hint="eastAsia"/>
                <w:color w:val="000000" w:themeColor="text1"/>
                <w:highlight w:val="none"/>
                <w:vertAlign w:val="superscript"/>
                <w14:textFill>
                  <w14:solidFill>
                    <w14:schemeClr w14:val="tx1"/>
                  </w14:solidFill>
                </w14:textFill>
              </w:rPr>
              <w:t>b</w:t>
            </w:r>
          </w:p>
        </w:tc>
        <w:tc>
          <w:tcPr>
            <w:tcW w:w="2268" w:type="dxa"/>
            <w:tcBorders>
              <w:top w:val="single" w:color="auto" w:sz="8" w:space="0"/>
            </w:tcBorders>
            <w:vAlign w:val="center"/>
          </w:tcPr>
          <w:p w14:paraId="76E3DB85">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最小值</w:t>
            </w:r>
          </w:p>
        </w:tc>
        <w:tc>
          <w:tcPr>
            <w:tcW w:w="1978" w:type="dxa"/>
            <w:tcBorders>
              <w:top w:val="single" w:color="auto" w:sz="8" w:space="0"/>
            </w:tcBorders>
            <w:vAlign w:val="center"/>
          </w:tcPr>
          <w:p w14:paraId="1E696DF0">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最大值</w:t>
            </w:r>
          </w:p>
        </w:tc>
      </w:tr>
      <w:tr w14:paraId="53BF7D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3E5B21EA">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vertAlign w:val="superscript"/>
                <w14:textFill>
                  <w14:solidFill>
                    <w14:schemeClr w14:val="tx1"/>
                  </w14:solidFill>
                </w14:textFill>
              </w:rPr>
              <w:t>c</w:t>
            </w:r>
          </w:p>
        </w:tc>
        <w:tc>
          <w:tcPr>
            <w:tcW w:w="2551" w:type="dxa"/>
            <w:vAlign w:val="center"/>
          </w:tcPr>
          <w:p w14:paraId="4930D6EA">
            <w:pPr>
              <w:pStyle w:val="14"/>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w:t>
            </w:r>
          </w:p>
        </w:tc>
        <w:tc>
          <w:tcPr>
            <w:tcW w:w="2268" w:type="dxa"/>
            <w:vAlign w:val="center"/>
          </w:tcPr>
          <w:p w14:paraId="71B19EBB">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-5</w:t>
            </w:r>
          </w:p>
        </w:tc>
        <w:tc>
          <w:tcPr>
            <w:tcW w:w="1978" w:type="dxa"/>
            <w:vAlign w:val="center"/>
          </w:tcPr>
          <w:p w14:paraId="46234FF6">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14:paraId="4F867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742EA455">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2551" w:type="dxa"/>
            <w:vAlign w:val="center"/>
          </w:tcPr>
          <w:p w14:paraId="3C634DEF">
            <w:pPr>
              <w:pStyle w:val="14"/>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b，c</w:t>
            </w:r>
          </w:p>
        </w:tc>
        <w:tc>
          <w:tcPr>
            <w:tcW w:w="2268" w:type="dxa"/>
            <w:vAlign w:val="center"/>
          </w:tcPr>
          <w:p w14:paraId="48B1A9CF">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-6</w:t>
            </w:r>
          </w:p>
        </w:tc>
        <w:tc>
          <w:tcPr>
            <w:tcW w:w="1978" w:type="dxa"/>
            <w:vAlign w:val="center"/>
          </w:tcPr>
          <w:p w14:paraId="62CC37D3">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-5</w:t>
            </w:r>
          </w:p>
        </w:tc>
      </w:tr>
      <w:tr w14:paraId="2A4FD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7511EE8B">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1" w:type="dxa"/>
            <w:vAlign w:val="center"/>
          </w:tcPr>
          <w:p w14:paraId="4BF94EBE">
            <w:pPr>
              <w:pStyle w:val="14"/>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d</w:t>
            </w:r>
          </w:p>
        </w:tc>
        <w:tc>
          <w:tcPr>
            <w:tcW w:w="2268" w:type="dxa"/>
            <w:vAlign w:val="center"/>
          </w:tcPr>
          <w:p w14:paraId="364EBFCB">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-7</w:t>
            </w:r>
          </w:p>
        </w:tc>
        <w:tc>
          <w:tcPr>
            <w:tcW w:w="1978" w:type="dxa"/>
            <w:vAlign w:val="center"/>
          </w:tcPr>
          <w:p w14:paraId="06209063">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-6</w:t>
            </w:r>
          </w:p>
        </w:tc>
      </w:tr>
      <w:tr w14:paraId="20BCE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55020DF6">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1" w:type="dxa"/>
            <w:vAlign w:val="center"/>
          </w:tcPr>
          <w:p w14:paraId="4ADE8509">
            <w:pPr>
              <w:pStyle w:val="14"/>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e</w:t>
            </w:r>
          </w:p>
        </w:tc>
        <w:tc>
          <w:tcPr>
            <w:tcW w:w="2268" w:type="dxa"/>
            <w:vAlign w:val="center"/>
          </w:tcPr>
          <w:p w14:paraId="55A28EF9">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-8</w:t>
            </w:r>
          </w:p>
        </w:tc>
        <w:tc>
          <w:tcPr>
            <w:tcW w:w="1978" w:type="dxa"/>
            <w:vAlign w:val="center"/>
          </w:tcPr>
          <w:p w14:paraId="5853C517">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-7</w:t>
            </w:r>
          </w:p>
        </w:tc>
      </w:tr>
      <w:tr w14:paraId="14EA9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47" w:type="dxa"/>
            <w:tcBorders>
              <w:bottom w:val="single" w:color="auto" w:sz="8" w:space="0"/>
            </w:tcBorders>
            <w:vAlign w:val="center"/>
          </w:tcPr>
          <w:p w14:paraId="0ADD1D8D">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1" w:type="dxa"/>
            <w:tcBorders>
              <w:bottom w:val="single" w:color="auto" w:sz="8" w:space="0"/>
            </w:tcBorders>
            <w:vAlign w:val="center"/>
          </w:tcPr>
          <w:p w14:paraId="5FC36A0F">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2268" w:type="dxa"/>
            <w:tcBorders>
              <w:bottom w:val="single" w:color="auto" w:sz="8" w:space="0"/>
            </w:tcBorders>
            <w:vAlign w:val="center"/>
          </w:tcPr>
          <w:p w14:paraId="66C8B85C">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-9</w:t>
            </w:r>
          </w:p>
        </w:tc>
        <w:tc>
          <w:tcPr>
            <w:tcW w:w="1978" w:type="dxa"/>
            <w:tcBorders>
              <w:bottom w:val="single" w:color="auto" w:sz="8" w:space="0"/>
            </w:tcBorders>
            <w:vAlign w:val="center"/>
          </w:tcPr>
          <w:p w14:paraId="3D558560">
            <w:pPr>
              <w:pStyle w:val="14"/>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-8</w:t>
            </w:r>
          </w:p>
        </w:tc>
      </w:tr>
      <w:tr w14:paraId="647B8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344" w:type="dxa"/>
            <w:gridSpan w:val="4"/>
            <w:tcBorders>
              <w:top w:val="single" w:color="auto" w:sz="8" w:space="0"/>
              <w:bottom w:val="single" w:color="auto" w:sz="8" w:space="0"/>
            </w:tcBorders>
            <w:vAlign w:val="center"/>
          </w:tcPr>
          <w:p w14:paraId="0711A2B9">
            <w:pPr>
              <w:pStyle w:val="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安全完整性等级</w:t>
            </w:r>
            <w:r>
              <w:rPr>
                <w:color w:val="000000" w:themeColor="text1"/>
                <w:highlight w:val="none"/>
                <w14:textFill>
                  <w14:solidFill>
                    <w14:schemeClr w14:val="tx1"/>
                  </w14:solidFill>
                </w14:textFill>
              </w:rPr>
              <w:t>按GB/T 20438.1分类。</w:t>
            </w:r>
          </w:p>
          <w:p w14:paraId="4A9C4748">
            <w:pPr>
              <w:pStyle w:val="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所需性能等级</w:t>
            </w:r>
            <w:bookmarkStart w:id="2" w:name="_GoBack"/>
            <w:bookmarkEnd w:id="2"/>
            <w:r>
              <w:rPr>
                <w:color w:val="000000" w:themeColor="text1"/>
                <w:highlight w:val="none"/>
                <w14:textFill>
                  <w14:solidFill>
                    <w14:schemeClr w14:val="tx1"/>
                  </w14:solidFill>
                </w14:textFill>
              </w:rPr>
              <w:t>按GB/T 16855.1分类。</w:t>
            </w:r>
          </w:p>
          <w:p w14:paraId="68677836">
            <w:pPr>
              <w:pStyle w:val="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代表没有要求</w:t>
            </w:r>
            <w:r>
              <w:rPr>
                <w:color w:val="000000" w:themeColor="text1"/>
                <w:highlight w:val="none"/>
                <w14:textFill>
                  <w14:solidFill>
                    <w14:schemeClr w14:val="tx1"/>
                  </w14:solidFill>
                </w14:textFill>
              </w:rPr>
              <w:t>。</w:t>
            </w:r>
          </w:p>
        </w:tc>
      </w:tr>
    </w:tbl>
    <w:p w14:paraId="37036B81">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ind w:left="0" w:leftChars="0" w:right="0" w:firstLine="0" w:firstLineChars="0"/>
        <w:textAlignment w:val="auto"/>
        <w:outlineLvl w:val="0"/>
        <w:rPr>
          <w:rFonts w:ascii="仿宋" w:hAnsi="仿宋" w:eastAsia="仿宋" w:cs="仿宋"/>
          <w:b/>
          <w:sz w:val="28"/>
          <w:szCs w:val="28"/>
        </w:rPr>
      </w:pPr>
      <w:r>
        <w:rPr>
          <w:rFonts w:hint="eastAsia" w:ascii="仿宋" w:hAnsi="仿宋" w:eastAsia="仿宋" w:cs="仿宋"/>
          <w:b/>
          <w:sz w:val="28"/>
          <w:szCs w:val="28"/>
        </w:rPr>
        <w:t>主要</w:t>
      </w:r>
      <w:r>
        <w:rPr>
          <w:rFonts w:hint="eastAsia" w:ascii="仿宋" w:hAnsi="仿宋" w:eastAsia="仿宋" w:cs="仿宋"/>
          <w:b/>
          <w:sz w:val="28"/>
          <w:szCs w:val="28"/>
          <w:lang w:eastAsia="zh-CN"/>
        </w:rPr>
        <w:t>条款</w:t>
      </w:r>
      <w:r>
        <w:rPr>
          <w:rFonts w:hint="eastAsia" w:ascii="仿宋" w:hAnsi="仿宋" w:eastAsia="仿宋" w:cs="仿宋"/>
          <w:b/>
          <w:sz w:val="28"/>
          <w:szCs w:val="28"/>
        </w:rPr>
        <w:t>的说明以及主要技术指标、参数、试验验证的论述</w:t>
      </w:r>
    </w:p>
    <w:p w14:paraId="773976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本文件</w:t>
      </w:r>
      <w:r>
        <w:rPr>
          <w:rFonts w:hint="eastAsia" w:ascii="仿宋" w:hAnsi="仿宋" w:eastAsia="仿宋" w:cs="仿宋"/>
          <w:sz w:val="24"/>
          <w:szCs w:val="24"/>
          <w:lang w:eastAsia="zh-CN"/>
        </w:rPr>
        <w:t>是在标准起草组总结的“</w:t>
      </w:r>
      <w:r>
        <w:rPr>
          <w:rFonts w:hint="eastAsia" w:ascii="仿宋" w:hAnsi="仿宋" w:eastAsia="仿宋" w:cs="仿宋"/>
          <w:sz w:val="24"/>
          <w:szCs w:val="24"/>
        </w:rPr>
        <w:t>德国豪华汽车品牌的电动汽车的电池包的功能安全”</w:t>
      </w:r>
      <w:r>
        <w:rPr>
          <w:rFonts w:hint="eastAsia" w:ascii="仿宋" w:hAnsi="仿宋" w:eastAsia="仿宋" w:cs="仿宋"/>
          <w:sz w:val="24"/>
          <w:szCs w:val="24"/>
          <w:lang w:eastAsia="zh-CN"/>
        </w:rPr>
        <w:t>“</w:t>
      </w:r>
      <w:r>
        <w:rPr>
          <w:rFonts w:hint="eastAsia" w:ascii="仿宋" w:hAnsi="仿宋" w:eastAsia="仿宋" w:cs="仿宋"/>
          <w:sz w:val="24"/>
          <w:szCs w:val="24"/>
        </w:rPr>
        <w:t>国内电网储能系统示范工程的产品安全”</w:t>
      </w:r>
      <w:r>
        <w:rPr>
          <w:rFonts w:hint="eastAsia" w:ascii="仿宋" w:hAnsi="仿宋" w:eastAsia="仿宋" w:cs="仿宋"/>
          <w:sz w:val="24"/>
          <w:szCs w:val="24"/>
          <w:lang w:eastAsia="zh-CN"/>
        </w:rPr>
        <w:t>等项目，以及各</w:t>
      </w:r>
      <w:r>
        <w:rPr>
          <w:rFonts w:hint="eastAsia" w:ascii="仿宋" w:hAnsi="仿宋" w:eastAsia="仿宋" w:cs="仿宋"/>
          <w:sz w:val="24"/>
          <w:szCs w:val="24"/>
        </w:rPr>
        <w:t>公司储能系统产品的功能安全验证项目</w:t>
      </w:r>
      <w:r>
        <w:rPr>
          <w:rFonts w:hint="eastAsia" w:ascii="仿宋" w:hAnsi="仿宋" w:eastAsia="仿宋" w:cs="仿宋"/>
          <w:sz w:val="24"/>
          <w:szCs w:val="24"/>
          <w:lang w:eastAsia="zh-CN"/>
        </w:rPr>
        <w:t>等</w:t>
      </w:r>
      <w:r>
        <w:rPr>
          <w:rFonts w:hint="eastAsia" w:ascii="仿宋" w:hAnsi="仿宋" w:eastAsia="仿宋" w:cs="仿宋"/>
          <w:sz w:val="24"/>
          <w:szCs w:val="24"/>
        </w:rPr>
        <w:t>实践经验</w:t>
      </w:r>
      <w:r>
        <w:rPr>
          <w:rFonts w:hint="eastAsia" w:ascii="仿宋" w:hAnsi="仿宋" w:eastAsia="仿宋" w:cs="仿宋"/>
          <w:sz w:val="24"/>
          <w:szCs w:val="24"/>
          <w:lang w:eastAsia="zh-CN"/>
        </w:rPr>
        <w:t>基础上，结合编写过程中调研和征集到的意见修改撰写而成，目标是形成可复制改造到储能系统的功能安全管理方法，</w:t>
      </w:r>
      <w:r>
        <w:rPr>
          <w:rFonts w:hint="eastAsia" w:ascii="仿宋" w:hAnsi="仿宋" w:eastAsia="仿宋" w:cs="仿宋"/>
          <w:sz w:val="24"/>
          <w:szCs w:val="24"/>
        </w:rPr>
        <w:t>即分析计算造成锂离子电池储能系统安全失效的模式、诊断方法、测试验证、控制残余风险到可接受水平的方法。</w:t>
      </w:r>
    </w:p>
    <w:p w14:paraId="77C3B60D">
      <w:pPr>
        <w:keepNext w:val="0"/>
        <w:keepLines w:val="0"/>
        <w:pageBreakBefore w:val="0"/>
        <w:widowControl/>
        <w:numPr>
          <w:ilvl w:val="0"/>
          <w:numId w:val="7"/>
        </w:numPr>
        <w:kinsoku/>
        <w:wordWrap/>
        <w:overflowPunct/>
        <w:topLinePunct w:val="0"/>
        <w:autoSpaceDE/>
        <w:autoSpaceDN/>
        <w:bidi w:val="0"/>
        <w:adjustRightInd/>
        <w:snapToGrid/>
        <w:spacing w:after="156" w:afterLines="50" w:line="360" w:lineRule="auto"/>
        <w:ind w:left="0" w:leftChars="0" w:right="0" w:firstLine="0" w:firstLineChars="0"/>
        <w:textAlignment w:val="auto"/>
        <w:outlineLvl w:val="1"/>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第</w:t>
      </w:r>
      <w:r>
        <w:rPr>
          <w:rFonts w:hint="eastAsia" w:ascii="仿宋" w:hAnsi="仿宋" w:eastAsia="仿宋" w:cs="仿宋"/>
          <w:b/>
          <w:bCs/>
          <w:kern w:val="0"/>
          <w:sz w:val="24"/>
          <w:lang w:val="en-US" w:eastAsia="zh-CN"/>
        </w:rPr>
        <w:t>1</w:t>
      </w:r>
      <w:r>
        <w:rPr>
          <w:rFonts w:hint="eastAsia" w:ascii="仿宋" w:hAnsi="仿宋" w:eastAsia="仿宋" w:cs="仿宋"/>
          <w:b/>
          <w:bCs/>
          <w:kern w:val="0"/>
          <w:sz w:val="24"/>
          <w:lang w:eastAsia="zh-CN"/>
        </w:rPr>
        <w:t>章</w:t>
      </w:r>
      <w:r>
        <w:rPr>
          <w:rFonts w:hint="eastAsia" w:ascii="仿宋" w:hAnsi="仿宋" w:eastAsia="仿宋" w:cs="仿宋"/>
          <w:b/>
          <w:bCs/>
          <w:kern w:val="0"/>
          <w:sz w:val="24"/>
          <w:lang w:val="en-US" w:eastAsia="zh-CN"/>
        </w:rPr>
        <w:t xml:space="preserve"> </w:t>
      </w:r>
      <w:r>
        <w:rPr>
          <w:rFonts w:hint="eastAsia" w:ascii="仿宋" w:hAnsi="仿宋" w:eastAsia="仿宋" w:cs="仿宋"/>
          <w:b/>
          <w:bCs/>
          <w:kern w:val="0"/>
          <w:sz w:val="24"/>
          <w:lang w:eastAsia="zh-CN"/>
        </w:rPr>
        <w:t>范围</w:t>
      </w:r>
    </w:p>
    <w:p w14:paraId="51284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eastAsia="zh-CN"/>
        </w:rPr>
        <w:t>本文件规定了锂离子电池储能系统的功能安全目标、功能安全设计验证、风险分析、功能安全保障措施和安全信息提示。</w:t>
      </w:r>
    </w:p>
    <w:p w14:paraId="61CDE9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eastAsia="zh-CN"/>
        </w:rPr>
        <w:t>本文件适用于家用储能、集装箱式移动储能、电</w:t>
      </w:r>
      <w:r>
        <w:rPr>
          <w:rFonts w:hint="eastAsia" w:ascii="仿宋" w:hAnsi="仿宋" w:eastAsia="仿宋" w:cs="仿宋"/>
          <w:b w:val="0"/>
          <w:bCs w:val="0"/>
          <w:kern w:val="0"/>
          <w:sz w:val="24"/>
          <w:lang w:val="en-US" w:eastAsia="zh-CN"/>
        </w:rPr>
        <w:t>力</w:t>
      </w:r>
      <w:r>
        <w:rPr>
          <w:rFonts w:hint="eastAsia" w:ascii="仿宋" w:hAnsi="仿宋" w:eastAsia="仿宋" w:cs="仿宋"/>
          <w:b w:val="0"/>
          <w:bCs w:val="0"/>
          <w:kern w:val="0"/>
          <w:sz w:val="24"/>
          <w:lang w:eastAsia="zh-CN"/>
        </w:rPr>
        <w:t>储能等锂离子电池储能系统的功能安全验证。</w:t>
      </w:r>
    </w:p>
    <w:p w14:paraId="68CBB184">
      <w:pPr>
        <w:keepNext w:val="0"/>
        <w:keepLines w:val="0"/>
        <w:pageBreakBefore w:val="0"/>
        <w:widowControl/>
        <w:numPr>
          <w:ilvl w:val="0"/>
          <w:numId w:val="7"/>
        </w:numPr>
        <w:kinsoku/>
        <w:wordWrap/>
        <w:overflowPunct/>
        <w:topLinePunct w:val="0"/>
        <w:autoSpaceDE/>
        <w:autoSpaceDN/>
        <w:bidi w:val="0"/>
        <w:adjustRightInd/>
        <w:snapToGrid/>
        <w:spacing w:after="156" w:afterLines="50" w:line="360" w:lineRule="auto"/>
        <w:ind w:left="0" w:leftChars="0" w:right="0" w:firstLine="0" w:firstLineChars="0"/>
        <w:textAlignment w:val="auto"/>
        <w:outlineLvl w:val="1"/>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第</w:t>
      </w:r>
      <w:r>
        <w:rPr>
          <w:rFonts w:hint="eastAsia" w:ascii="仿宋" w:hAnsi="仿宋" w:eastAsia="仿宋" w:cs="仿宋"/>
          <w:b/>
          <w:bCs/>
          <w:kern w:val="0"/>
          <w:sz w:val="24"/>
          <w:lang w:val="en-US" w:eastAsia="zh-CN"/>
        </w:rPr>
        <w:t>2</w:t>
      </w:r>
      <w:r>
        <w:rPr>
          <w:rFonts w:hint="eastAsia" w:ascii="仿宋" w:hAnsi="仿宋" w:eastAsia="仿宋" w:cs="仿宋"/>
          <w:b/>
          <w:bCs/>
          <w:kern w:val="0"/>
          <w:sz w:val="24"/>
          <w:lang w:eastAsia="zh-CN"/>
        </w:rPr>
        <w:t>章 规范性引用文件</w:t>
      </w:r>
    </w:p>
    <w:p w14:paraId="283EB5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061A2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eastAsia="zh-CN"/>
        </w:rPr>
        <w:t>GB/T 4888  故障树名词术语和符号</w:t>
      </w:r>
    </w:p>
    <w:p w14:paraId="1940F1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eastAsia="zh-CN"/>
        </w:rPr>
        <w:t>GB/T 7829  故障树分析程序</w:t>
      </w:r>
    </w:p>
    <w:p w14:paraId="7FBF8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eastAsia="zh-CN"/>
        </w:rPr>
        <w:t>GB/T 16855.1  机械安全 控制系统安全相关部件  第1部分：设计通则</w:t>
      </w:r>
    </w:p>
    <w:p w14:paraId="449CEB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eastAsia="zh-CN"/>
        </w:rPr>
        <w:t>GB/T 20438（所有部分）  电气/电子/可编程电子安全相关系统的功能安全</w:t>
      </w:r>
    </w:p>
    <w:p w14:paraId="4F40B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eastAsia="zh-CN"/>
        </w:rPr>
        <w:t>DL/T 2528  电力储能基本术语</w:t>
      </w:r>
    </w:p>
    <w:p w14:paraId="5A4B059C">
      <w:pPr>
        <w:keepNext w:val="0"/>
        <w:keepLines w:val="0"/>
        <w:pageBreakBefore w:val="0"/>
        <w:widowControl/>
        <w:numPr>
          <w:ilvl w:val="0"/>
          <w:numId w:val="7"/>
        </w:numPr>
        <w:kinsoku/>
        <w:wordWrap/>
        <w:overflowPunct/>
        <w:topLinePunct w:val="0"/>
        <w:autoSpaceDE/>
        <w:autoSpaceDN/>
        <w:bidi w:val="0"/>
        <w:adjustRightInd/>
        <w:snapToGrid/>
        <w:spacing w:after="156" w:afterLines="50" w:line="360" w:lineRule="auto"/>
        <w:ind w:left="0" w:leftChars="0" w:right="0" w:firstLine="0" w:firstLineChars="0"/>
        <w:textAlignment w:val="auto"/>
        <w:outlineLvl w:val="1"/>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第</w:t>
      </w:r>
      <w:r>
        <w:rPr>
          <w:rFonts w:hint="eastAsia" w:ascii="仿宋" w:hAnsi="仿宋" w:eastAsia="仿宋" w:cs="仿宋"/>
          <w:b/>
          <w:bCs/>
          <w:kern w:val="0"/>
          <w:sz w:val="24"/>
          <w:lang w:val="en-US" w:eastAsia="zh-CN"/>
        </w:rPr>
        <w:t>3</w:t>
      </w:r>
      <w:r>
        <w:rPr>
          <w:rFonts w:hint="eastAsia" w:ascii="仿宋" w:hAnsi="仿宋" w:eastAsia="仿宋" w:cs="仿宋"/>
          <w:b/>
          <w:bCs/>
          <w:kern w:val="0"/>
          <w:sz w:val="24"/>
          <w:lang w:eastAsia="zh-CN"/>
        </w:rPr>
        <w:t>章 术语和定义</w:t>
      </w:r>
    </w:p>
    <w:p w14:paraId="258D1A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kern w:val="0"/>
          <w:sz w:val="24"/>
          <w:lang w:val="en-US" w:eastAsia="zh-CN"/>
        </w:rPr>
      </w:pPr>
      <w:r>
        <w:rPr>
          <w:rFonts w:hint="eastAsia" w:ascii="仿宋" w:hAnsi="仿宋" w:eastAsia="仿宋" w:cs="仿宋"/>
          <w:b w:val="0"/>
          <w:bCs w:val="0"/>
          <w:kern w:val="0"/>
          <w:sz w:val="24"/>
          <w:lang w:eastAsia="zh-CN"/>
        </w:rPr>
        <w:t>DL/T 2528和GB/T 20438.4界定的以及下列术语和定义适用于本文件，</w:t>
      </w:r>
      <w:r>
        <w:rPr>
          <w:rFonts w:hint="eastAsia" w:ascii="仿宋" w:hAnsi="仿宋" w:eastAsia="仿宋" w:cs="仿宋"/>
          <w:b w:val="0"/>
          <w:bCs w:val="0"/>
          <w:kern w:val="0"/>
          <w:sz w:val="24"/>
          <w:lang w:val="en-US" w:eastAsia="zh-CN"/>
        </w:rPr>
        <w:t>并给出了</w:t>
      </w:r>
      <w:r>
        <w:rPr>
          <w:rFonts w:hint="eastAsia" w:ascii="仿宋" w:hAnsi="仿宋" w:eastAsia="仿宋" w:cs="仿宋"/>
          <w:b w:val="0"/>
          <w:bCs w:val="0"/>
          <w:kern w:val="0"/>
          <w:sz w:val="24"/>
          <w:lang w:eastAsia="zh-CN"/>
        </w:rPr>
        <w:t>“锂离子电池储能系统”“</w:t>
      </w:r>
      <w:r>
        <w:rPr>
          <w:rFonts w:hint="eastAsia" w:ascii="仿宋" w:hAnsi="仿宋" w:eastAsia="仿宋" w:cs="仿宋"/>
          <w:b w:val="0"/>
          <w:bCs w:val="0"/>
          <w:kern w:val="0"/>
          <w:sz w:val="24"/>
          <w:lang w:val="en-US" w:eastAsia="zh-CN"/>
        </w:rPr>
        <w:t>交叉审核</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安全完整性等级</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所需性能等级</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4项术语的解释。</w:t>
      </w:r>
    </w:p>
    <w:p w14:paraId="044AF9A2">
      <w:pPr>
        <w:keepNext w:val="0"/>
        <w:keepLines w:val="0"/>
        <w:pageBreakBefore w:val="0"/>
        <w:widowControl/>
        <w:numPr>
          <w:ilvl w:val="0"/>
          <w:numId w:val="7"/>
        </w:numPr>
        <w:kinsoku/>
        <w:wordWrap/>
        <w:overflowPunct/>
        <w:topLinePunct w:val="0"/>
        <w:autoSpaceDE/>
        <w:autoSpaceDN/>
        <w:bidi w:val="0"/>
        <w:adjustRightInd/>
        <w:snapToGrid/>
        <w:spacing w:after="156" w:afterLines="50" w:line="360" w:lineRule="auto"/>
        <w:ind w:left="0" w:leftChars="0" w:right="0" w:firstLine="0" w:firstLineChars="0"/>
        <w:textAlignment w:val="auto"/>
        <w:outlineLvl w:val="1"/>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第</w:t>
      </w:r>
      <w:r>
        <w:rPr>
          <w:rFonts w:hint="eastAsia" w:ascii="仿宋" w:hAnsi="仿宋" w:eastAsia="仿宋" w:cs="仿宋"/>
          <w:b/>
          <w:bCs/>
          <w:kern w:val="0"/>
          <w:sz w:val="24"/>
          <w:lang w:val="en-US" w:eastAsia="zh-CN"/>
        </w:rPr>
        <w:t>4</w:t>
      </w:r>
      <w:r>
        <w:rPr>
          <w:rFonts w:hint="eastAsia" w:ascii="仿宋" w:hAnsi="仿宋" w:eastAsia="仿宋" w:cs="仿宋"/>
          <w:b/>
          <w:bCs/>
          <w:kern w:val="0"/>
          <w:sz w:val="24"/>
          <w:lang w:eastAsia="zh-CN"/>
        </w:rPr>
        <w:t>章 功能安全目标</w:t>
      </w:r>
    </w:p>
    <w:p w14:paraId="1B8113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kern w:val="0"/>
          <w:sz w:val="24"/>
          <w:lang w:val="en-US" w:eastAsia="zh-CN"/>
        </w:rPr>
      </w:pPr>
      <w:r>
        <w:rPr>
          <w:rFonts w:hint="eastAsia" w:ascii="仿宋" w:hAnsi="仿宋" w:eastAsia="仿宋" w:cs="仿宋"/>
          <w:b w:val="0"/>
          <w:bCs w:val="0"/>
          <w:kern w:val="0"/>
          <w:sz w:val="24"/>
          <w:lang w:eastAsia="zh-CN"/>
        </w:rPr>
        <w:t>本章给出了</w:t>
      </w:r>
      <w:r>
        <w:rPr>
          <w:rFonts w:hint="eastAsia" w:ascii="仿宋" w:hAnsi="仿宋" w:eastAsia="仿宋" w:cs="仿宋"/>
          <w:b w:val="0"/>
          <w:bCs w:val="0"/>
          <w:kern w:val="0"/>
          <w:sz w:val="24"/>
          <w:lang w:val="en-US" w:eastAsia="zh-CN"/>
        </w:rPr>
        <w:t>确认功能安全目标需要考虑的一般要求、残余风险失效概率、特性要求和功能安全目标确认方法。</w:t>
      </w:r>
    </w:p>
    <w:p w14:paraId="6DAC01E8">
      <w:pPr>
        <w:keepNext w:val="0"/>
        <w:keepLines w:val="0"/>
        <w:pageBreakBefore w:val="0"/>
        <w:widowControl/>
        <w:numPr>
          <w:ilvl w:val="0"/>
          <w:numId w:val="7"/>
        </w:numPr>
        <w:kinsoku/>
        <w:wordWrap/>
        <w:overflowPunct/>
        <w:topLinePunct w:val="0"/>
        <w:autoSpaceDE/>
        <w:autoSpaceDN/>
        <w:bidi w:val="0"/>
        <w:adjustRightInd/>
        <w:snapToGrid/>
        <w:spacing w:after="156" w:afterLines="50" w:line="360" w:lineRule="auto"/>
        <w:ind w:left="0" w:leftChars="0" w:right="0" w:firstLine="0" w:firstLineChars="0"/>
        <w:textAlignment w:val="auto"/>
        <w:outlineLvl w:val="1"/>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第</w:t>
      </w:r>
      <w:r>
        <w:rPr>
          <w:rFonts w:hint="eastAsia" w:ascii="仿宋" w:hAnsi="仿宋" w:eastAsia="仿宋" w:cs="仿宋"/>
          <w:b/>
          <w:bCs/>
          <w:kern w:val="0"/>
          <w:sz w:val="24"/>
          <w:lang w:val="en-US" w:eastAsia="zh-CN"/>
        </w:rPr>
        <w:t>5</w:t>
      </w:r>
      <w:r>
        <w:rPr>
          <w:rFonts w:hint="eastAsia" w:ascii="仿宋" w:hAnsi="仿宋" w:eastAsia="仿宋" w:cs="仿宋"/>
          <w:b/>
          <w:bCs/>
          <w:kern w:val="0"/>
          <w:sz w:val="24"/>
          <w:lang w:eastAsia="zh-CN"/>
        </w:rPr>
        <w:t>章 功能安全设计验证</w:t>
      </w:r>
    </w:p>
    <w:p w14:paraId="4FF377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kern w:val="0"/>
          <w:sz w:val="24"/>
          <w:lang w:val="en-US" w:eastAsia="zh-CN"/>
        </w:rPr>
      </w:pPr>
      <w:r>
        <w:rPr>
          <w:rFonts w:hint="eastAsia" w:ascii="仿宋" w:hAnsi="仿宋" w:eastAsia="仿宋" w:cs="仿宋"/>
          <w:b w:val="0"/>
          <w:bCs w:val="0"/>
          <w:kern w:val="0"/>
          <w:sz w:val="24"/>
          <w:lang w:eastAsia="zh-CN"/>
        </w:rPr>
        <w:t>本章规范了</w:t>
      </w:r>
      <w:r>
        <w:rPr>
          <w:rFonts w:hint="eastAsia" w:ascii="仿宋" w:hAnsi="仿宋" w:eastAsia="仿宋" w:cs="仿宋"/>
          <w:b w:val="0"/>
          <w:bCs w:val="0"/>
          <w:kern w:val="0"/>
          <w:sz w:val="24"/>
          <w:lang w:val="en-US" w:eastAsia="zh-CN"/>
        </w:rPr>
        <w:t>功能安全验证设计的一般要求，包括功能安全设计验证流程。以及在设计阶段、制造阶段和售后服务阶段功能安全设计验证应考虑的事项和开展的验证工作。</w:t>
      </w:r>
    </w:p>
    <w:p w14:paraId="2762A256">
      <w:pPr>
        <w:keepNext w:val="0"/>
        <w:keepLines w:val="0"/>
        <w:pageBreakBefore w:val="0"/>
        <w:widowControl/>
        <w:numPr>
          <w:ilvl w:val="0"/>
          <w:numId w:val="7"/>
        </w:numPr>
        <w:kinsoku/>
        <w:wordWrap/>
        <w:overflowPunct/>
        <w:topLinePunct w:val="0"/>
        <w:autoSpaceDE/>
        <w:autoSpaceDN/>
        <w:bidi w:val="0"/>
        <w:adjustRightInd/>
        <w:snapToGrid/>
        <w:spacing w:after="156" w:afterLines="50" w:line="360" w:lineRule="auto"/>
        <w:ind w:left="0" w:leftChars="0" w:right="0" w:firstLine="0" w:firstLineChars="0"/>
        <w:textAlignment w:val="auto"/>
        <w:outlineLvl w:val="1"/>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第</w:t>
      </w:r>
      <w:r>
        <w:rPr>
          <w:rFonts w:hint="eastAsia" w:ascii="仿宋" w:hAnsi="仿宋" w:eastAsia="仿宋" w:cs="仿宋"/>
          <w:b/>
          <w:bCs/>
          <w:kern w:val="0"/>
          <w:sz w:val="24"/>
          <w:lang w:val="en-US" w:eastAsia="zh-CN"/>
        </w:rPr>
        <w:t>6</w:t>
      </w:r>
      <w:r>
        <w:rPr>
          <w:rFonts w:hint="eastAsia" w:ascii="仿宋" w:hAnsi="仿宋" w:eastAsia="仿宋" w:cs="仿宋"/>
          <w:b/>
          <w:bCs/>
          <w:kern w:val="0"/>
          <w:sz w:val="24"/>
          <w:lang w:eastAsia="zh-CN"/>
        </w:rPr>
        <w:t xml:space="preserve">章 </w:t>
      </w:r>
      <w:r>
        <w:rPr>
          <w:rFonts w:hint="eastAsia" w:ascii="仿宋" w:hAnsi="仿宋" w:eastAsia="仿宋" w:cs="仿宋"/>
          <w:b/>
          <w:bCs/>
          <w:kern w:val="0"/>
          <w:sz w:val="24"/>
          <w:lang w:val="en-US" w:eastAsia="zh-CN"/>
        </w:rPr>
        <w:t>风险分析</w:t>
      </w:r>
    </w:p>
    <w:p w14:paraId="44EF83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kern w:val="0"/>
          <w:sz w:val="24"/>
          <w:lang w:val="en-US" w:eastAsia="zh-CN"/>
        </w:rPr>
      </w:pPr>
      <w:r>
        <w:rPr>
          <w:rFonts w:hint="eastAsia" w:ascii="仿宋" w:hAnsi="仿宋" w:eastAsia="仿宋" w:cs="仿宋"/>
          <w:b w:val="0"/>
          <w:bCs w:val="0"/>
          <w:kern w:val="0"/>
          <w:sz w:val="24"/>
          <w:lang w:eastAsia="zh-CN"/>
        </w:rPr>
        <w:t>本章</w:t>
      </w:r>
      <w:r>
        <w:rPr>
          <w:rFonts w:hint="eastAsia" w:ascii="仿宋" w:hAnsi="仿宋" w:eastAsia="仿宋" w:cs="仿宋"/>
          <w:b w:val="0"/>
          <w:bCs w:val="0"/>
          <w:kern w:val="0"/>
          <w:sz w:val="24"/>
          <w:lang w:val="en-US" w:eastAsia="zh-CN"/>
        </w:rPr>
        <w:t>规范</w:t>
      </w:r>
      <w:r>
        <w:rPr>
          <w:rFonts w:hint="eastAsia" w:ascii="仿宋" w:hAnsi="仿宋" w:eastAsia="仿宋" w:cs="仿宋"/>
          <w:b w:val="0"/>
          <w:bCs w:val="0"/>
          <w:kern w:val="0"/>
          <w:sz w:val="24"/>
          <w:lang w:eastAsia="zh-CN"/>
        </w:rPr>
        <w:t>了</w:t>
      </w:r>
      <w:r>
        <w:rPr>
          <w:rFonts w:hint="eastAsia" w:ascii="仿宋" w:hAnsi="仿宋" w:eastAsia="仿宋" w:cs="仿宋"/>
          <w:b w:val="0"/>
          <w:bCs w:val="0"/>
          <w:kern w:val="0"/>
          <w:sz w:val="24"/>
          <w:lang w:val="en-US" w:eastAsia="zh-CN"/>
        </w:rPr>
        <w:t>进行风险分析数据获取的来源、可使用的失效模式分析、残余风险的计算方法、补充安全措施以及残余风险再次核算、文档管理的相关要求。</w:t>
      </w:r>
    </w:p>
    <w:p w14:paraId="244C913F">
      <w:pPr>
        <w:keepNext w:val="0"/>
        <w:keepLines w:val="0"/>
        <w:pageBreakBefore w:val="0"/>
        <w:widowControl/>
        <w:numPr>
          <w:ilvl w:val="0"/>
          <w:numId w:val="7"/>
        </w:numPr>
        <w:kinsoku/>
        <w:wordWrap/>
        <w:overflowPunct/>
        <w:topLinePunct w:val="0"/>
        <w:autoSpaceDE/>
        <w:autoSpaceDN/>
        <w:bidi w:val="0"/>
        <w:adjustRightInd/>
        <w:snapToGrid/>
        <w:spacing w:after="156" w:afterLines="50" w:line="360" w:lineRule="auto"/>
        <w:ind w:left="0" w:leftChars="0" w:right="0" w:firstLine="0" w:firstLineChars="0"/>
        <w:textAlignment w:val="auto"/>
        <w:outlineLvl w:val="1"/>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第</w:t>
      </w:r>
      <w:r>
        <w:rPr>
          <w:rFonts w:hint="eastAsia" w:ascii="仿宋" w:hAnsi="仿宋" w:eastAsia="仿宋" w:cs="仿宋"/>
          <w:b/>
          <w:bCs/>
          <w:kern w:val="0"/>
          <w:sz w:val="24"/>
          <w:lang w:val="en-US" w:eastAsia="zh-CN"/>
        </w:rPr>
        <w:t>7</w:t>
      </w:r>
      <w:r>
        <w:rPr>
          <w:rFonts w:hint="eastAsia" w:ascii="仿宋" w:hAnsi="仿宋" w:eastAsia="仿宋" w:cs="仿宋"/>
          <w:b/>
          <w:bCs/>
          <w:kern w:val="0"/>
          <w:sz w:val="24"/>
          <w:lang w:eastAsia="zh-CN"/>
        </w:rPr>
        <w:t xml:space="preserve">章 </w:t>
      </w:r>
      <w:r>
        <w:rPr>
          <w:rFonts w:hint="eastAsia" w:ascii="仿宋" w:hAnsi="仿宋" w:eastAsia="仿宋" w:cs="仿宋"/>
          <w:b/>
          <w:bCs/>
          <w:kern w:val="0"/>
          <w:sz w:val="24"/>
          <w:lang w:val="en-US" w:eastAsia="zh-CN"/>
        </w:rPr>
        <w:t>功能安全保障措施</w:t>
      </w:r>
    </w:p>
    <w:p w14:paraId="38C67632">
      <w:pPr>
        <w:keepNext w:val="0"/>
        <w:keepLines w:val="0"/>
        <w:pageBreakBefore w:val="0"/>
        <w:widowControl/>
        <w:numPr>
          <w:ilvl w:val="0"/>
          <w:numId w:val="0"/>
        </w:numPr>
        <w:kinsoku/>
        <w:wordWrap/>
        <w:overflowPunct/>
        <w:topLinePunct w:val="0"/>
        <w:autoSpaceDE/>
        <w:autoSpaceDN/>
        <w:bidi w:val="0"/>
        <w:adjustRightInd/>
        <w:snapToGrid/>
        <w:spacing w:after="156" w:afterLines="50" w:line="360" w:lineRule="auto"/>
        <w:ind w:leftChars="0" w:right="0" w:rightChars="0" w:firstLine="480" w:firstLineChars="200"/>
        <w:textAlignment w:val="auto"/>
        <w:outlineLvl w:val="1"/>
        <w:rPr>
          <w:rFonts w:hint="default" w:ascii="仿宋" w:hAnsi="仿宋" w:eastAsia="仿宋" w:cs="仿宋"/>
          <w:b/>
          <w:bCs/>
          <w:kern w:val="0"/>
          <w:sz w:val="24"/>
          <w:lang w:val="en-US" w:eastAsia="zh-CN"/>
        </w:rPr>
      </w:pPr>
      <w:r>
        <w:rPr>
          <w:rFonts w:hint="eastAsia" w:ascii="仿宋" w:hAnsi="仿宋" w:eastAsia="仿宋" w:cs="仿宋"/>
          <w:b w:val="0"/>
          <w:bCs w:val="0"/>
          <w:kern w:val="0"/>
          <w:sz w:val="24"/>
          <w:lang w:eastAsia="zh-CN"/>
        </w:rPr>
        <w:t>本章</w:t>
      </w:r>
      <w:r>
        <w:rPr>
          <w:rFonts w:hint="eastAsia" w:ascii="仿宋" w:hAnsi="仿宋" w:eastAsia="仿宋" w:cs="仿宋"/>
          <w:b w:val="0"/>
          <w:bCs w:val="0"/>
          <w:kern w:val="0"/>
          <w:sz w:val="24"/>
          <w:lang w:val="en-US" w:eastAsia="zh-CN"/>
        </w:rPr>
        <w:t>规范了功能安全保障措施的在设计、制造、运输、存储、运行、维护阶段的功能安全保障措施要求。</w:t>
      </w:r>
    </w:p>
    <w:p w14:paraId="711E7330">
      <w:pPr>
        <w:keepNext w:val="0"/>
        <w:keepLines w:val="0"/>
        <w:pageBreakBefore w:val="0"/>
        <w:widowControl/>
        <w:numPr>
          <w:ilvl w:val="0"/>
          <w:numId w:val="7"/>
        </w:numPr>
        <w:kinsoku/>
        <w:wordWrap/>
        <w:overflowPunct/>
        <w:topLinePunct w:val="0"/>
        <w:autoSpaceDE/>
        <w:autoSpaceDN/>
        <w:bidi w:val="0"/>
        <w:adjustRightInd/>
        <w:snapToGrid/>
        <w:spacing w:after="156" w:afterLines="50" w:line="360" w:lineRule="auto"/>
        <w:ind w:left="0" w:leftChars="0" w:right="0" w:firstLine="0" w:firstLineChars="0"/>
        <w:textAlignment w:val="auto"/>
        <w:outlineLvl w:val="1"/>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安全信息提示</w:t>
      </w:r>
    </w:p>
    <w:p w14:paraId="7886DD7A">
      <w:pPr>
        <w:keepNext w:val="0"/>
        <w:keepLines w:val="0"/>
        <w:pageBreakBefore w:val="0"/>
        <w:widowControl/>
        <w:numPr>
          <w:ilvl w:val="0"/>
          <w:numId w:val="0"/>
        </w:numPr>
        <w:kinsoku/>
        <w:wordWrap/>
        <w:overflowPunct/>
        <w:topLinePunct w:val="0"/>
        <w:autoSpaceDE/>
        <w:autoSpaceDN/>
        <w:bidi w:val="0"/>
        <w:adjustRightInd/>
        <w:snapToGrid/>
        <w:spacing w:after="156" w:afterLines="50" w:line="360" w:lineRule="auto"/>
        <w:ind w:leftChars="0" w:right="0" w:rightChars="0" w:firstLine="480" w:firstLineChars="200"/>
        <w:textAlignment w:val="auto"/>
        <w:outlineLvl w:val="1"/>
        <w:rPr>
          <w:rFonts w:hint="default" w:ascii="仿宋" w:hAnsi="仿宋" w:eastAsia="仿宋" w:cs="仿宋"/>
          <w:b w:val="0"/>
          <w:bCs w:val="0"/>
          <w:kern w:val="0"/>
          <w:sz w:val="24"/>
          <w:lang w:val="en-US" w:eastAsia="zh-CN"/>
        </w:rPr>
      </w:pPr>
      <w:r>
        <w:rPr>
          <w:rFonts w:hint="eastAsia" w:ascii="仿宋" w:hAnsi="仿宋" w:eastAsia="仿宋" w:cs="仿宋"/>
          <w:b w:val="0"/>
          <w:bCs w:val="0"/>
          <w:kern w:val="0"/>
          <w:sz w:val="24"/>
          <w:lang w:eastAsia="zh-CN"/>
        </w:rPr>
        <w:t>本章</w:t>
      </w:r>
      <w:r>
        <w:rPr>
          <w:rFonts w:hint="eastAsia" w:ascii="仿宋" w:hAnsi="仿宋" w:eastAsia="仿宋" w:cs="仿宋"/>
          <w:b w:val="0"/>
          <w:bCs w:val="0"/>
          <w:kern w:val="0"/>
          <w:sz w:val="24"/>
          <w:lang w:val="en-US" w:eastAsia="zh-CN"/>
        </w:rPr>
        <w:t>规范了</w:t>
      </w:r>
      <w:r>
        <w:rPr>
          <w:rFonts w:hint="eastAsia" w:ascii="仿宋" w:hAnsi="仿宋" w:eastAsia="仿宋" w:cs="仿宋"/>
          <w:b w:val="0"/>
          <w:bCs w:val="0"/>
          <w:kern w:val="0"/>
          <w:sz w:val="24"/>
          <w:lang w:eastAsia="zh-CN"/>
        </w:rPr>
        <w:t>锂离子电池储能系统</w:t>
      </w:r>
      <w:r>
        <w:rPr>
          <w:rFonts w:hint="eastAsia" w:ascii="仿宋" w:hAnsi="仿宋" w:eastAsia="仿宋" w:cs="仿宋"/>
          <w:b w:val="0"/>
          <w:bCs w:val="0"/>
          <w:kern w:val="0"/>
          <w:sz w:val="24"/>
          <w:lang w:val="en-US" w:eastAsia="zh-CN"/>
        </w:rPr>
        <w:t>应说明的事项以及说明途径等内容。</w:t>
      </w:r>
    </w:p>
    <w:p w14:paraId="6A64444E">
      <w:pPr>
        <w:keepNext w:val="0"/>
        <w:keepLines w:val="0"/>
        <w:pageBreakBefore w:val="0"/>
        <w:widowControl/>
        <w:numPr>
          <w:ilvl w:val="0"/>
          <w:numId w:val="7"/>
        </w:numPr>
        <w:kinsoku/>
        <w:wordWrap/>
        <w:overflowPunct/>
        <w:topLinePunct w:val="0"/>
        <w:autoSpaceDE/>
        <w:autoSpaceDN/>
        <w:bidi w:val="0"/>
        <w:adjustRightInd/>
        <w:snapToGrid/>
        <w:spacing w:after="156" w:afterLines="50" w:line="360" w:lineRule="auto"/>
        <w:ind w:left="0" w:leftChars="0" w:right="0" w:firstLine="0" w:firstLineChars="0"/>
        <w:textAlignment w:val="auto"/>
        <w:outlineLvl w:val="1"/>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附录A（资料性）</w:t>
      </w:r>
      <w:r>
        <w:rPr>
          <w:rFonts w:hint="eastAsia" w:ascii="仿宋" w:hAnsi="仿宋" w:eastAsia="仿宋" w:cs="仿宋"/>
          <w:b/>
          <w:bCs/>
          <w:kern w:val="0"/>
          <w:sz w:val="24"/>
          <w:lang w:val="en-US" w:eastAsia="zh-CN"/>
        </w:rPr>
        <w:t>功能</w:t>
      </w:r>
      <w:r>
        <w:rPr>
          <w:rFonts w:hint="eastAsia" w:ascii="仿宋" w:hAnsi="仿宋" w:eastAsia="仿宋" w:cs="仿宋"/>
          <w:b/>
          <w:bCs/>
          <w:kern w:val="0"/>
          <w:sz w:val="24"/>
          <w:lang w:eastAsia="zh-CN"/>
        </w:rPr>
        <w:t>安全目标确定</w:t>
      </w:r>
      <w:r>
        <w:rPr>
          <w:rFonts w:hint="eastAsia" w:ascii="仿宋" w:hAnsi="仿宋" w:eastAsia="仿宋" w:cs="仿宋"/>
          <w:b/>
          <w:bCs/>
          <w:kern w:val="0"/>
          <w:sz w:val="24"/>
          <w:lang w:val="en-US" w:eastAsia="zh-CN"/>
        </w:rPr>
        <w:t>示例</w:t>
      </w:r>
    </w:p>
    <w:p w14:paraId="7DAEFA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eastAsia="zh-CN"/>
        </w:rPr>
        <w:t>本章给出了基于销售规模与质保要求的电池储能系统功能安全目标确定示例。</w:t>
      </w:r>
    </w:p>
    <w:p w14:paraId="0EC96BE8">
      <w:pPr>
        <w:keepNext w:val="0"/>
        <w:keepLines w:val="0"/>
        <w:pageBreakBefore w:val="0"/>
        <w:widowControl/>
        <w:numPr>
          <w:ilvl w:val="0"/>
          <w:numId w:val="7"/>
        </w:numPr>
        <w:kinsoku/>
        <w:wordWrap/>
        <w:overflowPunct/>
        <w:topLinePunct w:val="0"/>
        <w:autoSpaceDE/>
        <w:autoSpaceDN/>
        <w:bidi w:val="0"/>
        <w:adjustRightInd/>
        <w:snapToGrid/>
        <w:spacing w:after="156" w:afterLines="50" w:line="360" w:lineRule="auto"/>
        <w:ind w:left="0" w:leftChars="0" w:right="0" w:firstLine="0" w:firstLineChars="0"/>
        <w:textAlignment w:val="auto"/>
        <w:outlineLvl w:val="1"/>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附录B（资料性）串并联电路模型计算可靠性示例</w:t>
      </w:r>
    </w:p>
    <w:p w14:paraId="5AA083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eastAsia="zh-CN"/>
        </w:rPr>
        <w:t>本章给出了利用串联和并联电路模型计算锂离子电池储能系统可靠性的示例。</w:t>
      </w:r>
    </w:p>
    <w:p w14:paraId="1D197B44">
      <w:pPr>
        <w:keepNext w:val="0"/>
        <w:keepLines w:val="0"/>
        <w:pageBreakBefore w:val="0"/>
        <w:widowControl/>
        <w:numPr>
          <w:ilvl w:val="0"/>
          <w:numId w:val="7"/>
        </w:numPr>
        <w:kinsoku/>
        <w:wordWrap/>
        <w:overflowPunct/>
        <w:topLinePunct w:val="0"/>
        <w:autoSpaceDE/>
        <w:autoSpaceDN/>
        <w:bidi w:val="0"/>
        <w:adjustRightInd/>
        <w:snapToGrid/>
        <w:spacing w:after="156" w:afterLines="50" w:line="360" w:lineRule="auto"/>
        <w:ind w:left="0" w:leftChars="0" w:right="0" w:firstLine="0" w:firstLineChars="0"/>
        <w:textAlignment w:val="auto"/>
        <w:outlineLvl w:val="1"/>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附录C（资料性）安全测试项目</w:t>
      </w:r>
    </w:p>
    <w:p w14:paraId="2C843F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eastAsia="zh-CN"/>
        </w:rPr>
        <w:t>本章给出了现有标准和市面上常见的锂离子电池或电池组的安全测试项目。</w:t>
      </w:r>
    </w:p>
    <w:p w14:paraId="4FE3BEE2">
      <w:pPr>
        <w:keepNext w:val="0"/>
        <w:keepLines w:val="0"/>
        <w:pageBreakBefore w:val="0"/>
        <w:widowControl/>
        <w:numPr>
          <w:ilvl w:val="0"/>
          <w:numId w:val="7"/>
        </w:numPr>
        <w:kinsoku/>
        <w:wordWrap/>
        <w:overflowPunct/>
        <w:topLinePunct w:val="0"/>
        <w:autoSpaceDE/>
        <w:autoSpaceDN/>
        <w:bidi w:val="0"/>
        <w:adjustRightInd/>
        <w:snapToGrid/>
        <w:spacing w:after="156" w:afterLines="50" w:line="360" w:lineRule="auto"/>
        <w:ind w:left="0" w:leftChars="0" w:right="0" w:firstLine="0" w:firstLineChars="0"/>
        <w:textAlignment w:val="auto"/>
        <w:outlineLvl w:val="1"/>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附录D（资料性）故障树分析示例</w:t>
      </w:r>
    </w:p>
    <w:p w14:paraId="3D5E13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eastAsia="zh-CN"/>
        </w:rPr>
        <w:t>本章给出了故障树分析示例，包括测量不准导致的起火失效、电气故障侦测错误导致的起火失效、泄漏电解液、冷凝水、外壳破损进水形成电解金属膜导致的短路起火失效、自放电侦测安全措施、运动机械损伤导致的失火失效、存放机械损伤导致的失火失效、导电螺丝松动的失效分析。</w:t>
      </w:r>
    </w:p>
    <w:p w14:paraId="2D00E468">
      <w:pPr>
        <w:keepNext w:val="0"/>
        <w:keepLines w:val="0"/>
        <w:pageBreakBefore w:val="0"/>
        <w:widowControl/>
        <w:numPr>
          <w:ilvl w:val="0"/>
          <w:numId w:val="7"/>
        </w:numPr>
        <w:kinsoku/>
        <w:wordWrap/>
        <w:overflowPunct/>
        <w:topLinePunct w:val="0"/>
        <w:autoSpaceDE/>
        <w:autoSpaceDN/>
        <w:bidi w:val="0"/>
        <w:adjustRightInd/>
        <w:snapToGrid/>
        <w:spacing w:after="156" w:afterLines="50" w:line="360" w:lineRule="auto"/>
        <w:ind w:left="0" w:leftChars="0" w:right="0" w:firstLine="0" w:firstLineChars="0"/>
        <w:textAlignment w:val="auto"/>
        <w:outlineLvl w:val="1"/>
        <w:rPr>
          <w:rFonts w:hint="eastAsia" w:ascii="仿宋" w:hAnsi="仿宋" w:eastAsia="仿宋" w:cs="仿宋"/>
          <w:b/>
          <w:bCs/>
          <w:sz w:val="24"/>
          <w:szCs w:val="24"/>
          <w:lang w:eastAsia="zh-CN"/>
        </w:rPr>
      </w:pPr>
      <w:r>
        <w:rPr>
          <w:rFonts w:hint="eastAsia" w:ascii="仿宋" w:hAnsi="仿宋" w:eastAsia="仿宋" w:cs="仿宋"/>
          <w:b/>
          <w:bCs/>
          <w:kern w:val="0"/>
          <w:sz w:val="24"/>
          <w:lang w:eastAsia="zh-CN"/>
        </w:rPr>
        <w:t>附录E（资料性）消防风水法</w:t>
      </w:r>
    </w:p>
    <w:p w14:paraId="4833C9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eastAsia="zh-CN"/>
        </w:rPr>
        <w:t>本章给出了标准起草组多年来防范锂离子电池起火的消防方法。</w:t>
      </w:r>
    </w:p>
    <w:p w14:paraId="30399E16">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ind w:left="0" w:leftChars="0" w:right="0" w:firstLine="0" w:firstLineChars="0"/>
        <w:textAlignment w:val="auto"/>
        <w:outlineLvl w:val="0"/>
        <w:rPr>
          <w:rFonts w:ascii="仿宋" w:hAnsi="仿宋" w:eastAsia="仿宋" w:cs="仿宋"/>
          <w:b/>
          <w:sz w:val="28"/>
          <w:szCs w:val="28"/>
        </w:rPr>
      </w:pPr>
      <w:r>
        <w:rPr>
          <w:rFonts w:hint="eastAsia" w:ascii="仿宋" w:hAnsi="仿宋" w:eastAsia="仿宋" w:cs="仿宋"/>
          <w:b/>
          <w:sz w:val="28"/>
          <w:szCs w:val="28"/>
        </w:rPr>
        <w:t>是否涉及专利等知识产权问题</w:t>
      </w:r>
    </w:p>
    <w:p w14:paraId="2397A7B9">
      <w:pPr>
        <w:spacing w:line="360" w:lineRule="auto"/>
        <w:ind w:firstLine="480" w:firstLineChars="200"/>
        <w:rPr>
          <w:rFonts w:ascii="仿宋" w:hAnsi="仿宋" w:eastAsia="仿宋" w:cs="仿宋"/>
          <w:b/>
          <w:sz w:val="24"/>
        </w:rPr>
      </w:pPr>
      <w:r>
        <w:rPr>
          <w:rFonts w:hint="eastAsia" w:ascii="仿宋" w:hAnsi="仿宋" w:eastAsia="仿宋" w:cs="仿宋"/>
          <w:sz w:val="24"/>
        </w:rPr>
        <w:t>本文件的主要技术内容及相关测试方法均不涉及专利。</w:t>
      </w:r>
    </w:p>
    <w:p w14:paraId="70D5EC90">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ind w:left="0" w:leftChars="0" w:right="0" w:firstLine="0" w:firstLineChars="0"/>
        <w:textAlignment w:val="auto"/>
        <w:outlineLvl w:val="0"/>
        <w:rPr>
          <w:rFonts w:ascii="仿宋" w:hAnsi="仿宋" w:eastAsia="仿宋" w:cs="仿宋"/>
          <w:b/>
          <w:sz w:val="28"/>
          <w:szCs w:val="28"/>
        </w:rPr>
      </w:pPr>
      <w:r>
        <w:rPr>
          <w:rFonts w:hint="eastAsia" w:ascii="仿宋" w:hAnsi="仿宋" w:eastAsia="仿宋" w:cs="仿宋"/>
          <w:b/>
          <w:sz w:val="28"/>
          <w:szCs w:val="28"/>
        </w:rPr>
        <w:t>重大意见分歧的处理依据和结果</w:t>
      </w:r>
    </w:p>
    <w:p w14:paraId="7C342C99">
      <w:pPr>
        <w:spacing w:line="360" w:lineRule="auto"/>
        <w:ind w:firstLine="480" w:firstLineChars="200"/>
        <w:rPr>
          <w:rFonts w:ascii="仿宋" w:hAnsi="仿宋" w:eastAsia="仿宋" w:cs="仿宋"/>
          <w:b/>
          <w:sz w:val="24"/>
        </w:rPr>
      </w:pPr>
      <w:r>
        <w:rPr>
          <w:rFonts w:hint="eastAsia" w:ascii="仿宋" w:hAnsi="仿宋" w:eastAsia="仿宋" w:cs="仿宋"/>
          <w:sz w:val="24"/>
        </w:rPr>
        <w:t>本文件无重大意见分歧条款。</w:t>
      </w:r>
    </w:p>
    <w:p w14:paraId="53763E21">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ind w:left="0" w:leftChars="0" w:right="0" w:firstLine="0" w:firstLineChars="0"/>
        <w:textAlignment w:val="auto"/>
        <w:outlineLvl w:val="0"/>
        <w:rPr>
          <w:rFonts w:ascii="仿宋" w:hAnsi="仿宋" w:eastAsia="仿宋" w:cs="仿宋"/>
          <w:b/>
          <w:sz w:val="28"/>
          <w:szCs w:val="28"/>
        </w:rPr>
      </w:pPr>
      <w:r>
        <w:rPr>
          <w:rFonts w:hint="eastAsia" w:ascii="仿宋" w:hAnsi="仿宋" w:eastAsia="仿宋" w:cs="仿宋"/>
          <w:b/>
          <w:sz w:val="28"/>
          <w:szCs w:val="28"/>
        </w:rPr>
        <w:t>实施地方标准的措施建议</w:t>
      </w:r>
    </w:p>
    <w:p w14:paraId="152A82EA">
      <w:pPr>
        <w:spacing w:line="360" w:lineRule="auto"/>
        <w:ind w:firstLine="480" w:firstLineChars="200"/>
      </w:pPr>
      <w:r>
        <w:rPr>
          <w:rFonts w:hint="eastAsia" w:ascii="仿宋" w:hAnsi="仿宋" w:eastAsia="仿宋" w:cs="仿宋"/>
          <w:color w:val="000000" w:themeColor="text1"/>
          <w:sz w:val="24"/>
          <w14:textFill>
            <w14:solidFill>
              <w14:schemeClr w14:val="tx1"/>
            </w14:solidFill>
          </w14:textFill>
        </w:rPr>
        <w:t>拟通过标准宣贯、标准实施监督检查等方式推动标准实施。</w:t>
      </w:r>
    </w:p>
    <w:p w14:paraId="55D97B02">
      <w:pPr>
        <w:rPr>
          <w:rFonts w:hint="eastAsia" w:ascii="仿宋" w:hAnsi="仿宋" w:eastAsia="仿宋" w:cs="仿宋"/>
        </w:rPr>
      </w:pPr>
    </w:p>
    <w:sectPr>
      <w:footerReference r:id="rId3" w:type="default"/>
      <w:pgSz w:w="11906" w:h="16838"/>
      <w:pgMar w:top="1587" w:right="1474"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60E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0B52B">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60B52B">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38333"/>
    <w:multiLevelType w:val="singleLevel"/>
    <w:tmpl w:val="9A738333"/>
    <w:lvl w:ilvl="0" w:tentative="0">
      <w:start w:val="1"/>
      <w:numFmt w:val="decimal"/>
      <w:lvlText w:val="%1."/>
      <w:lvlJc w:val="left"/>
      <w:pPr>
        <w:ind w:left="425" w:hanging="425"/>
      </w:pPr>
      <w:rPr>
        <w:rFonts w:hint="default"/>
      </w:rPr>
    </w:lvl>
  </w:abstractNum>
  <w:abstractNum w:abstractNumId="1">
    <w:nsid w:val="BD79B51D"/>
    <w:multiLevelType w:val="singleLevel"/>
    <w:tmpl w:val="BD79B51D"/>
    <w:lvl w:ilvl="0" w:tentative="0">
      <w:start w:val="1"/>
      <w:numFmt w:val="chineseCounting"/>
      <w:suff w:val="nothing"/>
      <w:lvlText w:val="%1、"/>
      <w:lvlJc w:val="left"/>
      <w:pPr>
        <w:ind w:left="0" w:firstLine="420"/>
      </w:pPr>
      <w:rPr>
        <w:rFonts w:hint="eastAsia"/>
      </w:rPr>
    </w:lvl>
  </w:abstractNum>
  <w:abstractNum w:abstractNumId="2">
    <w:nsid w:val="DC6182CD"/>
    <w:multiLevelType w:val="singleLevel"/>
    <w:tmpl w:val="DC6182CD"/>
    <w:lvl w:ilvl="0" w:tentative="0">
      <w:start w:val="1"/>
      <w:numFmt w:val="chineseCounting"/>
      <w:suff w:val="nothing"/>
      <w:lvlText w:val="（%1）"/>
      <w:lvlJc w:val="left"/>
      <w:pPr>
        <w:ind w:left="0" w:firstLine="420"/>
      </w:pPr>
      <w:rPr>
        <w:rFonts w:hint="eastAsia"/>
      </w:rPr>
    </w:lvl>
  </w:abstractNum>
  <w:abstractNum w:abstractNumId="3">
    <w:nsid w:val="1110532E"/>
    <w:multiLevelType w:val="singleLevel"/>
    <w:tmpl w:val="1110532E"/>
    <w:lvl w:ilvl="0" w:tentative="0">
      <w:start w:val="1"/>
      <w:numFmt w:val="chineseCounting"/>
      <w:suff w:val="nothing"/>
      <w:lvlText w:val="（%1）"/>
      <w:lvlJc w:val="left"/>
      <w:pPr>
        <w:ind w:left="0" w:firstLine="420"/>
      </w:pPr>
      <w:rPr>
        <w:rFonts w:hint="eastAsia"/>
      </w:rPr>
    </w:lvl>
  </w:abstractNum>
  <w:abstractNum w:abstractNumId="4">
    <w:nsid w:val="16E0AFEF"/>
    <w:multiLevelType w:val="singleLevel"/>
    <w:tmpl w:val="16E0AFEF"/>
    <w:lvl w:ilvl="0" w:tentative="0">
      <w:start w:val="1"/>
      <w:numFmt w:val="chineseCounting"/>
      <w:suff w:val="nothing"/>
      <w:lvlText w:val="（%1）"/>
      <w:lvlJc w:val="left"/>
      <w:pPr>
        <w:ind w:left="0" w:firstLine="420"/>
      </w:pPr>
      <w:rPr>
        <w:rFonts w:hint="eastAsia"/>
      </w:rPr>
    </w:lvl>
  </w:abstractNum>
  <w:abstractNum w:abstractNumId="5">
    <w:nsid w:val="32F04FB2"/>
    <w:multiLevelType w:val="multilevel"/>
    <w:tmpl w:val="32F04FB2"/>
    <w:lvl w:ilvl="0" w:tentative="0">
      <w:start w:val="1"/>
      <w:numFmt w:val="lowerLetter"/>
      <w:pStyle w:val="20"/>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6">
    <w:nsid w:val="646260FA"/>
    <w:multiLevelType w:val="multilevel"/>
    <w:tmpl w:val="646260FA"/>
    <w:lvl w:ilvl="0" w:tentative="0">
      <w:start w:val="1"/>
      <w:numFmt w:val="decimal"/>
      <w:pStyle w:val="1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6"/>
  </w:num>
  <w:num w:numId="2">
    <w:abstractNumId w:val="5"/>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M2EzNWU4NDJhZGFjNDU1ZWZlZjlhNDhiYTJhZTYifQ=="/>
  </w:docVars>
  <w:rsids>
    <w:rsidRoot w:val="00172A27"/>
    <w:rsid w:val="013D5FBE"/>
    <w:rsid w:val="05A7101A"/>
    <w:rsid w:val="0CA0719B"/>
    <w:rsid w:val="0CA93659"/>
    <w:rsid w:val="0CF544C1"/>
    <w:rsid w:val="0EFB0120"/>
    <w:rsid w:val="109C0C84"/>
    <w:rsid w:val="11CC6A86"/>
    <w:rsid w:val="126B11EC"/>
    <w:rsid w:val="12AC4F82"/>
    <w:rsid w:val="12BC3A16"/>
    <w:rsid w:val="14026AA6"/>
    <w:rsid w:val="14A260D0"/>
    <w:rsid w:val="18050373"/>
    <w:rsid w:val="19D13C3F"/>
    <w:rsid w:val="1A974E89"/>
    <w:rsid w:val="23B77057"/>
    <w:rsid w:val="257167FE"/>
    <w:rsid w:val="267F67D1"/>
    <w:rsid w:val="27BE6DC1"/>
    <w:rsid w:val="293F061A"/>
    <w:rsid w:val="297E0BF6"/>
    <w:rsid w:val="29BD3A0D"/>
    <w:rsid w:val="310A005B"/>
    <w:rsid w:val="31D11D75"/>
    <w:rsid w:val="337926A3"/>
    <w:rsid w:val="38F11C25"/>
    <w:rsid w:val="39D52E80"/>
    <w:rsid w:val="3BD9050B"/>
    <w:rsid w:val="3D727DE4"/>
    <w:rsid w:val="42635FC6"/>
    <w:rsid w:val="44956B98"/>
    <w:rsid w:val="45763769"/>
    <w:rsid w:val="45B73338"/>
    <w:rsid w:val="470C669F"/>
    <w:rsid w:val="49BE748D"/>
    <w:rsid w:val="4B9F32EE"/>
    <w:rsid w:val="4D806A91"/>
    <w:rsid w:val="4E175648"/>
    <w:rsid w:val="514B3CFC"/>
    <w:rsid w:val="55322CF5"/>
    <w:rsid w:val="55D13EC0"/>
    <w:rsid w:val="562465E2"/>
    <w:rsid w:val="56F40992"/>
    <w:rsid w:val="570E159C"/>
    <w:rsid w:val="5DEB2C0F"/>
    <w:rsid w:val="61AE798F"/>
    <w:rsid w:val="6884593C"/>
    <w:rsid w:val="72BF6231"/>
    <w:rsid w:val="76B61ECF"/>
    <w:rsid w:val="7F901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paragraph" w:styleId="13">
    <w:name w:val="List Paragraph"/>
    <w:basedOn w:val="1"/>
    <w:qFormat/>
    <w:uiPriority w:val="34"/>
    <w:pPr>
      <w:ind w:firstLine="420" w:firstLineChars="200"/>
    </w:pPr>
    <w:rPr>
      <w:rFonts w:ascii="Times New Roman" w:hAnsi="Times New Roman" w:eastAsia="宋体" w:cs="Times New Roman"/>
      <w:szCs w:val="24"/>
    </w:rPr>
  </w:style>
  <w:style w:type="paragraph" w:customStyle="1" w:styleId="1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
    <w:name w:val="标准文件_页脚偶数页"/>
    <w:unhideWhenUsed/>
    <w:qFormat/>
    <w:uiPriority w:val="0"/>
    <w:pPr>
      <w:spacing w:beforeLines="0" w:afterLines="0"/>
      <w:ind w:left="198"/>
    </w:pPr>
    <w:rPr>
      <w:rFonts w:hint="eastAsia" w:ascii="宋体" w:hAnsi="Times New Roman" w:eastAsia="宋体" w:cs="Times New Roman"/>
      <w:sz w:val="18"/>
      <w:szCs w:val="24"/>
      <w:lang w:val="en-US" w:eastAsia="zh-CN" w:bidi="ar-SA"/>
    </w:rPr>
  </w:style>
  <w:style w:type="paragraph" w:customStyle="1" w:styleId="16">
    <w:name w:val="标准文件_页眉奇数页"/>
    <w:next w:val="1"/>
    <w:unhideWhenUsed/>
    <w:qFormat/>
    <w:uiPriority w:val="0"/>
    <w:pPr>
      <w:tabs>
        <w:tab w:val="center" w:pos="4154"/>
        <w:tab w:val="right" w:pos="8306"/>
      </w:tabs>
      <w:spacing w:beforeLines="0" w:after="120" w:afterLines="0"/>
      <w:jc w:val="right"/>
    </w:pPr>
    <w:rPr>
      <w:rFonts w:hint="eastAsia" w:ascii="黑体" w:hAnsi="宋体" w:eastAsia="黑体" w:cs="Times New Roman"/>
      <w:sz w:val="21"/>
      <w:szCs w:val="24"/>
      <w:lang w:val="en-US" w:eastAsia="zh-CN" w:bidi="ar-SA"/>
    </w:rPr>
  </w:style>
  <w:style w:type="paragraph" w:customStyle="1" w:styleId="17">
    <w:name w:val="标准文件_页脚奇数页"/>
    <w:unhideWhenUsed/>
    <w:qFormat/>
    <w:uiPriority w:val="0"/>
    <w:pPr>
      <w:spacing w:beforeLines="0" w:afterLines="0"/>
      <w:ind w:right="227"/>
      <w:jc w:val="right"/>
    </w:pPr>
    <w:rPr>
      <w:rFonts w:hint="eastAsia" w:ascii="宋体" w:hAnsi="Times New Roman" w:eastAsia="宋体" w:cs="Times New Roman"/>
      <w:sz w:val="18"/>
      <w:szCs w:val="24"/>
      <w:lang w:val="en-US" w:eastAsia="zh-CN" w:bidi="ar-SA"/>
    </w:rPr>
  </w:style>
  <w:style w:type="paragraph" w:customStyle="1" w:styleId="18">
    <w:name w:val="标准文件_页眉偶数页"/>
    <w:basedOn w:val="16"/>
    <w:next w:val="1"/>
    <w:unhideWhenUsed/>
    <w:qFormat/>
    <w:uiPriority w:val="0"/>
    <w:pPr>
      <w:spacing w:beforeLines="0" w:afterLines="0"/>
      <w:jc w:val="left"/>
    </w:pPr>
    <w:rPr>
      <w:rFonts w:hint="eastAsia"/>
      <w:sz w:val="21"/>
      <w:szCs w:val="24"/>
    </w:rPr>
  </w:style>
  <w:style w:type="paragraph" w:customStyle="1" w:styleId="19">
    <w:name w:val="标准文件_正文表标题"/>
    <w:next w:val="14"/>
    <w:qFormat/>
    <w:uiPriority w:val="0"/>
    <w:pPr>
      <w:numPr>
        <w:ilvl w:val="0"/>
        <w:numId w:val="1"/>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0">
    <w:name w:val="标准文件_图表脚注"/>
    <w:basedOn w:val="1"/>
    <w:next w:val="14"/>
    <w:qFormat/>
    <w:uiPriority w:val="0"/>
    <w:pPr>
      <w:numPr>
        <w:ilvl w:val="0"/>
        <w:numId w:val="2"/>
      </w:numPr>
      <w:spacing w:line="240" w:lineRule="auto"/>
      <w:jc w:val="left"/>
    </w:pPr>
    <w:rPr>
      <w:rFonts w:ascii="宋体" w:hAnsi="宋体"/>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2921</Words>
  <Characters>3166</Characters>
  <Lines>0</Lines>
  <Paragraphs>0</Paragraphs>
  <TotalTime>34</TotalTime>
  <ScaleCrop>false</ScaleCrop>
  <LinksUpToDate>false</LinksUpToDate>
  <CharactersWithSpaces>3208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2023-05-12T02:07:00Z</dcterms:created>
  <dc:creator>WPS_1668997655</dc:creator>
  <cp:lastModifiedBy>Q1an</cp:lastModifiedBy>
  <dcterms:modified xsi:type="dcterms:W3CDTF">2025-01-23T09:30:57Z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82A0CAEC42D9477B9C79871C72E3F218_13</vt:lpwstr>
  </property>
  <property fmtid="{D5CDD505-2E9C-101B-9397-08002B2CF9AE}" pid="4" name="KSOTemplateDocerSaveRecord">
    <vt:lpwstr>eyJoZGlkIjoiOWQyNDNiNTdiMDIxNGNmYjk1YjdiZTVkY2Y0NTg4NDQiLCJ1c2VySWQiOiI1MTIxODc0MzYifQ==</vt:lpwstr>
  </property>
</Properties>
</file>