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FEE1D">
      <w:pPr>
        <w:pStyle w:val="4"/>
        <w:keepNext w:val="0"/>
        <w:keepLines w:val="0"/>
        <w:spacing w:before="0" w:beforeLines="0" w:after="0" w:afterLines="0" w:line="550" w:lineRule="exact"/>
        <w:rPr>
          <w:rFonts w:hint="default" w:ascii="黑体" w:hAnsi="黑体" w:eastAsia="黑体" w:cs="黑体"/>
          <w:b w:val="0"/>
          <w:bCs w:val="0"/>
          <w:lang w:val="en" w:eastAsia="zh-CN"/>
        </w:rPr>
      </w:pPr>
      <w:r>
        <w:rPr>
          <w:rFonts w:hint="eastAsia" w:ascii="黑体" w:hAnsi="黑体" w:eastAsia="黑体" w:cs="黑体"/>
          <w:b w:val="0"/>
          <w:bCs w:val="0"/>
          <w:lang w:eastAsia="zh-CN"/>
        </w:rPr>
        <w:t>附件</w:t>
      </w:r>
    </w:p>
    <w:p w14:paraId="128DA3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深圳市科技评审管理心PSZX2024-ZB003</w:t>
      </w:r>
    </w:p>
    <w:p w14:paraId="188106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专项审计服务</w:t>
      </w:r>
      <w:r>
        <w:rPr>
          <w:rFonts w:hint="eastAsia" w:ascii="方正小标宋简体" w:hAnsi="方正小标宋简体" w:eastAsia="方正小标宋简体" w:cs="方正小标宋简体"/>
          <w:sz w:val="44"/>
          <w:szCs w:val="44"/>
          <w:lang w:eastAsia="zh-CN"/>
        </w:rPr>
        <w:t>采购</w:t>
      </w:r>
      <w:r>
        <w:rPr>
          <w:rFonts w:hint="eastAsia" w:ascii="方正小标宋简体" w:hAnsi="方正小标宋简体" w:eastAsia="方正小标宋简体" w:cs="方正小标宋简体"/>
          <w:sz w:val="44"/>
          <w:szCs w:val="44"/>
        </w:rPr>
        <w:t>需求书</w:t>
      </w:r>
    </w:p>
    <w:p w14:paraId="7E8022ED">
      <w:pPr>
        <w:pStyle w:val="4"/>
        <w:keepNext w:val="0"/>
        <w:keepLines w:val="0"/>
        <w:spacing w:before="0" w:beforeLines="0" w:after="0" w:afterLines="0" w:line="550" w:lineRule="exact"/>
      </w:pPr>
    </w:p>
    <w:p w14:paraId="196F8356">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ascii="黑体" w:hAnsi="黑体" w:eastAsia="黑体" w:cs="仿宋"/>
          <w:color w:val="000000"/>
          <w:sz w:val="32"/>
          <w:szCs w:val="32"/>
        </w:rPr>
      </w:pPr>
      <w:r>
        <w:rPr>
          <w:rFonts w:hint="eastAsia" w:ascii="黑体" w:hAnsi="黑体" w:eastAsia="黑体" w:cs="仿宋"/>
          <w:color w:val="000000"/>
          <w:sz w:val="32"/>
          <w:szCs w:val="32"/>
        </w:rPr>
        <w:t>一、采购项目概况</w:t>
      </w:r>
    </w:p>
    <w:p w14:paraId="3F7F9579">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招标1家会计师事务所，对5家科研机构开展专项审计工作。5家科研机构的市财政专项经费投入为5100-7000万元不等。</w:t>
      </w:r>
    </w:p>
    <w:p w14:paraId="1E746C03">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ascii="黑体" w:hAnsi="黑体" w:eastAsia="黑体" w:cs="仿宋"/>
          <w:color w:val="000000"/>
          <w:sz w:val="32"/>
          <w:szCs w:val="32"/>
        </w:rPr>
      </w:pPr>
      <w:r>
        <w:rPr>
          <w:rFonts w:hint="eastAsia" w:ascii="黑体" w:hAnsi="黑体" w:eastAsia="黑体" w:cs="仿宋"/>
          <w:color w:val="000000"/>
          <w:sz w:val="32"/>
          <w:szCs w:val="32"/>
        </w:rPr>
        <w:t>二、服务要求</w:t>
      </w:r>
    </w:p>
    <w:p w14:paraId="71F4EE31">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中标单位需于中标后1周内入驻现场，审计</w:t>
      </w:r>
      <w:r>
        <w:rPr>
          <w:rFonts w:hint="eastAsia" w:ascii="仿宋_GB2312" w:hAnsi="仿宋" w:cs="仿宋"/>
          <w:sz w:val="32"/>
          <w:szCs w:val="32"/>
          <w:lang w:val="en-US" w:eastAsia="zh-CN"/>
        </w:rPr>
        <w:t>5</w:t>
      </w:r>
      <w:r>
        <w:rPr>
          <w:rFonts w:hint="eastAsia" w:ascii="仿宋_GB2312" w:hAnsi="仿宋" w:eastAsia="仿宋_GB2312" w:cs="仿宋"/>
          <w:sz w:val="32"/>
          <w:szCs w:val="32"/>
          <w:lang w:val="en-US" w:eastAsia="zh-CN"/>
        </w:rPr>
        <w:t>家</w:t>
      </w:r>
      <w:r>
        <w:rPr>
          <w:rFonts w:hint="eastAsia" w:ascii="仿宋_GB2312" w:hAnsi="仿宋" w:cs="仿宋"/>
          <w:sz w:val="32"/>
          <w:szCs w:val="32"/>
          <w:lang w:val="en-US" w:eastAsia="zh-CN"/>
        </w:rPr>
        <w:t>科研机构3</w:t>
      </w:r>
      <w:r>
        <w:rPr>
          <w:rFonts w:hint="eastAsia" w:ascii="仿宋_GB2312" w:hAnsi="仿宋" w:eastAsia="仿宋_GB2312" w:cs="仿宋"/>
          <w:sz w:val="32"/>
          <w:szCs w:val="32"/>
          <w:lang w:val="en-US" w:eastAsia="zh-CN"/>
        </w:rPr>
        <w:t>-</w:t>
      </w:r>
      <w:r>
        <w:rPr>
          <w:rFonts w:hint="eastAsia" w:ascii="仿宋_GB2312" w:hAnsi="仿宋" w:cs="仿宋"/>
          <w:sz w:val="32"/>
          <w:szCs w:val="32"/>
          <w:lang w:val="en-US" w:eastAsia="zh-CN"/>
        </w:rPr>
        <w:t>4</w:t>
      </w:r>
      <w:r>
        <w:rPr>
          <w:rFonts w:hint="eastAsia" w:ascii="仿宋_GB2312" w:hAnsi="仿宋" w:eastAsia="仿宋_GB2312" w:cs="仿宋"/>
          <w:sz w:val="32"/>
          <w:szCs w:val="32"/>
          <w:lang w:val="en-US" w:eastAsia="zh-CN"/>
        </w:rPr>
        <w:t>年建设运行情况，并于入驻现场后3周内出具专项审计报告。</w:t>
      </w:r>
    </w:p>
    <w:p w14:paraId="5B83D25F">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总负责人必须持有注册会计师证书且具备10年以上相关审计经历，现场负责人必须具备7年以上相关审计经历。</w:t>
      </w:r>
    </w:p>
    <w:p w14:paraId="5BE53398">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审计要点包括但不限于如下内容：</w:t>
      </w:r>
    </w:p>
    <w:p w14:paraId="462BB06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（一）</w:t>
      </w:r>
      <w:r>
        <w:rPr>
          <w:rFonts w:hint="eastAsia" w:ascii="仿宋_GB2312" w:hAnsi="仿宋_GB2312" w:eastAsia="仿宋_GB2312" w:cs="仿宋_GB2312"/>
          <w:b w:val="0"/>
          <w:bCs w:val="0"/>
          <w:spacing w:val="7"/>
          <w:sz w:val="32"/>
          <w:szCs w:val="32"/>
        </w:rPr>
        <w:t>运行管理审计</w:t>
      </w:r>
    </w:p>
    <w:p w14:paraId="5834EE9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lang w:val="en-US" w:eastAsia="zh-CN"/>
        </w:rPr>
        <w:t>1.</w:t>
      </w:r>
      <w:r>
        <w:rPr>
          <w:rFonts w:hint="eastAsia" w:ascii="仿宋_GB2312" w:hAnsi="仿宋_GB2312" w:eastAsia="仿宋_GB2312" w:cs="仿宋_GB2312"/>
          <w:b w:val="0"/>
          <w:bCs w:val="0"/>
          <w:spacing w:val="4"/>
          <w:sz w:val="32"/>
          <w:szCs w:val="32"/>
        </w:rPr>
        <w:t>考核指标完成情况</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lang w:val="en-US" w:eastAsia="zh-CN"/>
        </w:rPr>
        <w:t>2.</w:t>
      </w:r>
      <w:r>
        <w:rPr>
          <w:rFonts w:hint="eastAsia" w:ascii="仿宋_GB2312" w:hAnsi="仿宋_GB2312" w:eastAsia="仿宋_GB2312" w:cs="仿宋_GB2312"/>
          <w:b w:val="0"/>
          <w:bCs w:val="0"/>
          <w:spacing w:val="5"/>
          <w:sz w:val="32"/>
          <w:szCs w:val="32"/>
        </w:rPr>
        <w:t>内控情况</w:t>
      </w:r>
      <w:r>
        <w:rPr>
          <w:rFonts w:hint="eastAsia" w:ascii="仿宋_GB2312" w:hAnsi="仿宋_GB2312" w:eastAsia="仿宋_GB2312" w:cs="仿宋_GB2312"/>
          <w:b w:val="0"/>
          <w:bCs w:val="0"/>
          <w:spacing w:val="5"/>
          <w:sz w:val="32"/>
          <w:szCs w:val="32"/>
          <w:lang w:eastAsia="zh-CN"/>
        </w:rPr>
        <w:t>；</w:t>
      </w:r>
      <w:r>
        <w:rPr>
          <w:rFonts w:hint="eastAsia" w:ascii="仿宋_GB2312" w:hAnsi="仿宋_GB2312" w:eastAsia="仿宋_GB2312" w:cs="仿宋_GB2312"/>
          <w:b w:val="0"/>
          <w:bCs w:val="0"/>
          <w:spacing w:val="5"/>
          <w:sz w:val="32"/>
          <w:szCs w:val="32"/>
          <w:lang w:val="en-US" w:eastAsia="zh-CN"/>
        </w:rPr>
        <w:t>3.</w:t>
      </w:r>
      <w:r>
        <w:rPr>
          <w:rFonts w:hint="eastAsia" w:ascii="仿宋_GB2312" w:hAnsi="仿宋_GB2312" w:eastAsia="仿宋_GB2312" w:cs="仿宋_GB2312"/>
          <w:b w:val="0"/>
          <w:bCs w:val="0"/>
          <w:spacing w:val="4"/>
          <w:sz w:val="32"/>
          <w:szCs w:val="32"/>
        </w:rPr>
        <w:t>人员管理情况</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lang w:val="en-US" w:eastAsia="zh-CN"/>
        </w:rPr>
        <w:t>4.</w:t>
      </w:r>
      <w:r>
        <w:rPr>
          <w:rFonts w:hint="eastAsia" w:ascii="仿宋_GB2312" w:hAnsi="仿宋_GB2312" w:eastAsia="仿宋_GB2312" w:cs="仿宋_GB2312"/>
          <w:b w:val="0"/>
          <w:bCs w:val="0"/>
          <w:spacing w:val="4"/>
          <w:sz w:val="32"/>
          <w:szCs w:val="32"/>
        </w:rPr>
        <w:t>科研活动情况</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lang w:val="en-US" w:eastAsia="zh-CN"/>
        </w:rPr>
        <w:t>5.</w:t>
      </w:r>
      <w:r>
        <w:rPr>
          <w:rFonts w:hint="eastAsia" w:ascii="仿宋_GB2312" w:hAnsi="仿宋_GB2312" w:eastAsia="仿宋_GB2312" w:cs="仿宋_GB2312"/>
          <w:b w:val="0"/>
          <w:bCs w:val="0"/>
          <w:spacing w:val="1"/>
          <w:sz w:val="32"/>
          <w:szCs w:val="32"/>
        </w:rPr>
        <w:t>固定资产情况</w:t>
      </w: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b w:val="0"/>
          <w:bCs w:val="0"/>
          <w:spacing w:val="1"/>
          <w:sz w:val="32"/>
          <w:szCs w:val="32"/>
          <w:lang w:val="en-US" w:eastAsia="zh-CN"/>
        </w:rPr>
        <w:t>6.</w:t>
      </w:r>
      <w:r>
        <w:rPr>
          <w:rFonts w:hint="eastAsia" w:ascii="仿宋_GB2312" w:hAnsi="仿宋_GB2312" w:eastAsia="仿宋_GB2312" w:cs="仿宋_GB2312"/>
          <w:b w:val="0"/>
          <w:bCs w:val="0"/>
          <w:spacing w:val="4"/>
          <w:sz w:val="32"/>
          <w:szCs w:val="32"/>
        </w:rPr>
        <w:t>财务情况</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lang w:val="en-US" w:eastAsia="zh-CN"/>
        </w:rPr>
        <w:t>7.</w:t>
      </w:r>
      <w:r>
        <w:rPr>
          <w:rFonts w:hint="eastAsia" w:ascii="仿宋_GB2312" w:hAnsi="仿宋_GB2312" w:eastAsia="仿宋_GB2312" w:cs="仿宋_GB2312"/>
          <w:b w:val="0"/>
          <w:bCs w:val="0"/>
          <w:spacing w:val="4"/>
          <w:sz w:val="32"/>
          <w:szCs w:val="32"/>
        </w:rPr>
        <w:t>数据准确性。</w:t>
      </w:r>
    </w:p>
    <w:p w14:paraId="36DD10E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（二）</w:t>
      </w:r>
      <w:r>
        <w:rPr>
          <w:rFonts w:hint="eastAsia" w:ascii="仿宋_GB2312" w:hAnsi="仿宋_GB2312" w:eastAsia="仿宋_GB2312" w:cs="仿宋_GB2312"/>
          <w:b w:val="0"/>
          <w:bCs w:val="0"/>
          <w:spacing w:val="8"/>
          <w:sz w:val="32"/>
          <w:szCs w:val="32"/>
        </w:rPr>
        <w:t>市财政专项资金审计</w:t>
      </w:r>
    </w:p>
    <w:p w14:paraId="24B86C4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textAlignment w:val="baseline"/>
        <w:rPr>
          <w:rFonts w:hint="eastAsia" w:ascii="仿宋_GB2312" w:hAnsi="仿宋_GB2312" w:eastAsia="仿宋_GB2312" w:cs="仿宋_GB2312"/>
          <w:b w:val="0"/>
          <w:bCs w:val="0"/>
          <w:spacing w:val="3"/>
          <w:sz w:val="32"/>
          <w:szCs w:val="32"/>
        </w:rPr>
      </w:pPr>
      <w:r>
        <w:rPr>
          <w:rFonts w:hint="eastAsia" w:ascii="仿宋_GB2312" w:hAnsi="仿宋_GB2312" w:eastAsia="仿宋_GB2312" w:cs="仿宋_GB2312"/>
          <w:b w:val="0"/>
          <w:bCs w:val="0"/>
          <w:spacing w:val="5"/>
          <w:sz w:val="32"/>
          <w:szCs w:val="32"/>
          <w:lang w:val="en-US" w:eastAsia="zh-CN"/>
        </w:rPr>
        <w:t>1.</w:t>
      </w:r>
      <w:r>
        <w:rPr>
          <w:rFonts w:hint="eastAsia" w:ascii="仿宋_GB2312" w:hAnsi="仿宋_GB2312" w:eastAsia="仿宋_GB2312" w:cs="仿宋_GB2312"/>
          <w:b w:val="0"/>
          <w:bCs w:val="0"/>
          <w:spacing w:val="5"/>
          <w:sz w:val="32"/>
          <w:szCs w:val="32"/>
        </w:rPr>
        <w:t>资金管理</w:t>
      </w:r>
      <w:r>
        <w:rPr>
          <w:rFonts w:hint="eastAsia" w:ascii="仿宋_GB2312" w:hAnsi="仿宋_GB2312" w:eastAsia="仿宋_GB2312" w:cs="仿宋_GB2312"/>
          <w:b w:val="0"/>
          <w:bCs w:val="0"/>
          <w:spacing w:val="5"/>
          <w:sz w:val="32"/>
          <w:szCs w:val="32"/>
          <w:lang w:eastAsia="zh-CN"/>
        </w:rPr>
        <w:t>；</w:t>
      </w:r>
      <w:r>
        <w:rPr>
          <w:rFonts w:hint="eastAsia" w:ascii="仿宋_GB2312" w:hAnsi="仿宋_GB2312" w:eastAsia="仿宋_GB2312" w:cs="仿宋_GB2312"/>
          <w:b w:val="0"/>
          <w:bCs w:val="0"/>
          <w:spacing w:val="5"/>
          <w:sz w:val="32"/>
          <w:szCs w:val="32"/>
          <w:lang w:val="en-US" w:eastAsia="zh-CN"/>
        </w:rPr>
        <w:t>2.</w:t>
      </w:r>
      <w:r>
        <w:rPr>
          <w:rFonts w:hint="eastAsia" w:ascii="仿宋_GB2312" w:hAnsi="仿宋_GB2312" w:eastAsia="仿宋_GB2312" w:cs="仿宋_GB2312"/>
          <w:b w:val="0"/>
          <w:bCs w:val="0"/>
          <w:spacing w:val="4"/>
          <w:sz w:val="32"/>
          <w:szCs w:val="32"/>
        </w:rPr>
        <w:t>资金支出</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lang w:val="en-US" w:eastAsia="zh-CN"/>
        </w:rPr>
        <w:t>3.</w:t>
      </w:r>
      <w:r>
        <w:rPr>
          <w:rFonts w:hint="eastAsia" w:ascii="仿宋_GB2312" w:hAnsi="仿宋_GB2312" w:eastAsia="仿宋_GB2312" w:cs="仿宋_GB2312"/>
          <w:b w:val="0"/>
          <w:bCs w:val="0"/>
          <w:spacing w:val="4"/>
          <w:sz w:val="32"/>
          <w:szCs w:val="32"/>
        </w:rPr>
        <w:t>资金收支执行情况</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lang w:val="en-US" w:eastAsia="zh-CN"/>
        </w:rPr>
        <w:t>4.</w:t>
      </w:r>
      <w:r>
        <w:rPr>
          <w:rFonts w:hint="eastAsia" w:ascii="仿宋_GB2312" w:hAnsi="仿宋_GB2312" w:eastAsia="仿宋_GB2312" w:cs="仿宋_GB2312"/>
          <w:b w:val="0"/>
          <w:bCs w:val="0"/>
          <w:spacing w:val="3"/>
          <w:sz w:val="32"/>
          <w:szCs w:val="32"/>
        </w:rPr>
        <w:t>资金使用违规情况。</w:t>
      </w:r>
    </w:p>
    <w:p w14:paraId="377FBF5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textAlignment w:val="baseline"/>
        <w:rPr>
          <w:rFonts w:hint="eastAsia" w:ascii="仿宋_GB2312" w:hAnsi="仿宋_GB2312" w:eastAsia="仿宋_GB2312" w:cs="仿宋_GB2312"/>
          <w:b w:val="0"/>
          <w:bCs w:val="0"/>
          <w:spacing w:val="3"/>
          <w:sz w:val="32"/>
          <w:szCs w:val="32"/>
          <w:lang w:eastAsia="zh-CN"/>
        </w:rPr>
      </w:pPr>
      <w:r>
        <w:rPr>
          <w:rFonts w:hint="eastAsia" w:ascii="仿宋_GB2312" w:hAnsi="仿宋_GB2312" w:eastAsia="仿宋_GB2312" w:cs="仿宋_GB2312"/>
          <w:b w:val="0"/>
          <w:bCs w:val="0"/>
          <w:spacing w:val="3"/>
          <w:sz w:val="32"/>
          <w:szCs w:val="32"/>
          <w:lang w:eastAsia="zh-CN"/>
        </w:rPr>
        <w:t>（三）其他事项审计</w:t>
      </w:r>
    </w:p>
    <w:p w14:paraId="6FF90AB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textAlignment w:val="baseline"/>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1.日常运行负面行为；2.重点绩效评价问题。</w:t>
      </w:r>
    </w:p>
    <w:p w14:paraId="7DC717DE">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ascii="黑体" w:hAnsi="黑体" w:eastAsia="黑体" w:cs="仿宋"/>
          <w:color w:val="000000"/>
          <w:sz w:val="32"/>
          <w:szCs w:val="32"/>
        </w:rPr>
      </w:pPr>
      <w:r>
        <w:rPr>
          <w:rFonts w:hint="eastAsia" w:ascii="黑体" w:hAnsi="黑体" w:eastAsia="黑体" w:cs="仿宋"/>
          <w:color w:val="000000"/>
          <w:sz w:val="32"/>
          <w:szCs w:val="32"/>
        </w:rPr>
        <w:t>三、供应商资格要求</w:t>
      </w:r>
    </w:p>
    <w:p w14:paraId="4EA90065">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1.在中华人民共和国境内注册，具有独立法人资格；</w:t>
      </w:r>
    </w:p>
    <w:p w14:paraId="280A8CFF">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2.具有会计师事务所资质（提供相关审批部门备案名单资料，复印件加盖公章）；</w:t>
      </w:r>
    </w:p>
    <w:p w14:paraId="508396B3">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3.具有良好信誉，近3年内在经营活动中无违法、违规及失信行为（提供承诺书）；</w:t>
      </w:r>
    </w:p>
    <w:p w14:paraId="243777E3">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4..近三年从事公司年度审计和专项审计相关业绩。</w:t>
      </w:r>
    </w:p>
    <w:p w14:paraId="5E0E9B2A">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ascii="黑体" w:hAnsi="黑体" w:eastAsia="黑体" w:cs="仿宋"/>
          <w:color w:val="000000"/>
          <w:sz w:val="32"/>
          <w:szCs w:val="32"/>
        </w:rPr>
      </w:pPr>
      <w:r>
        <w:rPr>
          <w:rFonts w:hint="eastAsia" w:ascii="黑体" w:hAnsi="黑体" w:eastAsia="黑体" w:cs="仿宋"/>
          <w:color w:val="000000"/>
          <w:sz w:val="32"/>
          <w:szCs w:val="32"/>
        </w:rPr>
        <w:t>四、评标定标方法</w:t>
      </w:r>
    </w:p>
    <w:p w14:paraId="4E265500">
      <w:pPr>
        <w:pStyle w:val="1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50" w:lineRule="exact"/>
        <w:ind w:left="198" w:right="198" w:firstLine="624" w:firstLineChars="200"/>
        <w:textAlignment w:val="auto"/>
        <w:rPr>
          <w:rFonts w:hint="eastAsia" w:ascii="仿宋_GB2312" w:hAnsi="仿宋" w:eastAsia="仿宋_GB2312" w:cs="仿宋"/>
          <w:sz w:val="32"/>
          <w:szCs w:val="32"/>
          <w:lang w:eastAsia="zh-CN"/>
        </w:rPr>
      </w:pPr>
      <w:r>
        <w:rPr>
          <w:rFonts w:hint="eastAsia" w:ascii="仿宋_GB2312" w:hAnsi="仿宋_GB2312" w:eastAsia="仿宋_GB2312" w:cs="仿宋_GB2312"/>
          <w:sz w:val="32"/>
          <w:szCs w:val="32"/>
          <w:lang w:eastAsia="zh-CN"/>
        </w:rPr>
        <w:t>根据本项目情况</w:t>
      </w:r>
      <w:r>
        <w:rPr>
          <w:rFonts w:hint="eastAsia" w:ascii="仿宋_GB2312" w:hAnsi="仿宋" w:eastAsia="仿宋_GB2312" w:cs="仿宋"/>
          <w:sz w:val="32"/>
          <w:szCs w:val="32"/>
        </w:rPr>
        <w:t>评分要素和具体分值</w:t>
      </w:r>
      <w:r>
        <w:rPr>
          <w:rFonts w:hint="eastAsia" w:ascii="仿宋_GB2312" w:hAnsi="仿宋" w:eastAsia="仿宋_GB2312" w:cs="仿宋"/>
          <w:sz w:val="32"/>
          <w:szCs w:val="32"/>
          <w:lang w:eastAsia="zh-CN"/>
        </w:rPr>
        <w:t>如下。</w:t>
      </w:r>
    </w:p>
    <w:tbl>
      <w:tblPr>
        <w:tblStyle w:val="16"/>
        <w:tblW w:w="8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Layout w:type="fixed"/>
        <w:tblCellMar>
          <w:top w:w="0" w:type="dxa"/>
          <w:left w:w="0" w:type="dxa"/>
          <w:bottom w:w="0" w:type="dxa"/>
          <w:right w:w="0" w:type="dxa"/>
        </w:tblCellMar>
      </w:tblPr>
      <w:tblGrid>
        <w:gridCol w:w="755"/>
        <w:gridCol w:w="1067"/>
        <w:gridCol w:w="3680"/>
        <w:gridCol w:w="1929"/>
        <w:gridCol w:w="805"/>
      </w:tblGrid>
      <w:tr w14:paraId="3A41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CellMar>
            <w:top w:w="0" w:type="dxa"/>
            <w:left w:w="0" w:type="dxa"/>
            <w:bottom w:w="0" w:type="dxa"/>
            <w:right w:w="0" w:type="dxa"/>
          </w:tblCellMar>
        </w:tblPrEx>
        <w:trPr>
          <w:trHeight w:val="90" w:hRule="atLeast"/>
          <w:tblHeader/>
          <w:jc w:val="center"/>
        </w:trPr>
        <w:tc>
          <w:tcPr>
            <w:tcW w:w="755" w:type="dxa"/>
            <w:shd w:val="clear" w:color="auto" w:fill="DEEAF6"/>
            <w:noWrap w:val="0"/>
            <w:tcMar>
              <w:top w:w="80" w:type="dxa"/>
              <w:left w:w="80" w:type="dxa"/>
              <w:bottom w:w="80" w:type="dxa"/>
              <w:right w:w="80" w:type="dxa"/>
            </w:tcMar>
            <w:vAlign w:val="center"/>
          </w:tcPr>
          <w:p w14:paraId="32B35498">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kern w:val="2"/>
                <w:sz w:val="24"/>
                <w:szCs w:val="24"/>
              </w:rPr>
              <w:t>序号</w:t>
            </w:r>
          </w:p>
        </w:tc>
        <w:tc>
          <w:tcPr>
            <w:tcW w:w="1067" w:type="dxa"/>
            <w:shd w:val="clear" w:color="auto" w:fill="DEEAF6"/>
            <w:noWrap w:val="0"/>
            <w:tcMar>
              <w:top w:w="80" w:type="dxa"/>
              <w:left w:w="80" w:type="dxa"/>
              <w:bottom w:w="80" w:type="dxa"/>
              <w:right w:w="80" w:type="dxa"/>
            </w:tcMar>
            <w:vAlign w:val="center"/>
          </w:tcPr>
          <w:p w14:paraId="6327885C">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b/>
                <w:bCs/>
                <w:color w:val="auto"/>
                <w:kern w:val="2"/>
                <w:sz w:val="24"/>
                <w:szCs w:val="24"/>
              </w:rPr>
            </w:pPr>
            <w:r>
              <w:rPr>
                <w:rFonts w:hint="eastAsia" w:ascii="方正仿宋_GBK" w:hAnsi="方正仿宋_GBK" w:eastAsia="方正仿宋_GBK" w:cs="方正仿宋_GBK"/>
                <w:b/>
                <w:bCs/>
                <w:color w:val="auto"/>
                <w:kern w:val="2"/>
                <w:sz w:val="24"/>
                <w:szCs w:val="24"/>
              </w:rPr>
              <w:t>评审</w:t>
            </w:r>
          </w:p>
          <w:p w14:paraId="28DCCD7B">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kern w:val="2"/>
                <w:sz w:val="24"/>
                <w:szCs w:val="24"/>
              </w:rPr>
              <w:t>项目</w:t>
            </w:r>
          </w:p>
        </w:tc>
        <w:tc>
          <w:tcPr>
            <w:tcW w:w="3680" w:type="dxa"/>
            <w:shd w:val="clear" w:color="auto" w:fill="DEEAF6"/>
            <w:noWrap w:val="0"/>
            <w:tcMar>
              <w:top w:w="80" w:type="dxa"/>
              <w:left w:w="80" w:type="dxa"/>
              <w:bottom w:w="80" w:type="dxa"/>
              <w:right w:w="80" w:type="dxa"/>
            </w:tcMar>
            <w:vAlign w:val="center"/>
          </w:tcPr>
          <w:p w14:paraId="49834C24">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kern w:val="2"/>
                <w:sz w:val="24"/>
                <w:szCs w:val="24"/>
              </w:rPr>
              <w:t>评审标准</w:t>
            </w:r>
          </w:p>
        </w:tc>
        <w:tc>
          <w:tcPr>
            <w:tcW w:w="1929" w:type="dxa"/>
            <w:shd w:val="clear" w:color="auto" w:fill="DEEAF6"/>
            <w:noWrap w:val="0"/>
            <w:tcMar>
              <w:top w:w="80" w:type="dxa"/>
              <w:left w:w="80" w:type="dxa"/>
              <w:bottom w:w="80" w:type="dxa"/>
              <w:right w:w="80" w:type="dxa"/>
            </w:tcMar>
            <w:vAlign w:val="center"/>
          </w:tcPr>
          <w:p w14:paraId="30DCBF3F">
            <w:pPr>
              <w:keepNext w:val="0"/>
              <w:keepLines w:val="0"/>
              <w:pageBreakBefore w:val="0"/>
              <w:widowControl w:val="0"/>
              <w:tabs>
                <w:tab w:val="left" w:pos="420"/>
                <w:tab w:val="left" w:pos="840"/>
                <w:tab w:val="left" w:pos="126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kern w:val="2"/>
                <w:sz w:val="24"/>
                <w:szCs w:val="24"/>
              </w:rPr>
              <w:t>证明材料</w:t>
            </w:r>
          </w:p>
        </w:tc>
        <w:tc>
          <w:tcPr>
            <w:tcW w:w="805" w:type="dxa"/>
            <w:shd w:val="clear" w:color="auto" w:fill="DEEAF6"/>
            <w:noWrap w:val="0"/>
            <w:tcMar>
              <w:top w:w="80" w:type="dxa"/>
              <w:left w:w="80" w:type="dxa"/>
              <w:bottom w:w="80" w:type="dxa"/>
              <w:right w:w="80" w:type="dxa"/>
            </w:tcMar>
            <w:vAlign w:val="center"/>
          </w:tcPr>
          <w:p w14:paraId="578BADC2">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kern w:val="2"/>
                <w:sz w:val="24"/>
                <w:szCs w:val="24"/>
              </w:rPr>
              <w:t>分值</w:t>
            </w:r>
          </w:p>
        </w:tc>
      </w:tr>
      <w:tr w14:paraId="2CFD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59" w:hRule="atLeast"/>
          <w:jc w:val="center"/>
        </w:trPr>
        <w:tc>
          <w:tcPr>
            <w:tcW w:w="755" w:type="dxa"/>
            <w:shd w:val="clear" w:color="auto" w:fill="auto"/>
            <w:noWrap w:val="0"/>
            <w:tcMar>
              <w:top w:w="80" w:type="dxa"/>
              <w:left w:w="80" w:type="dxa"/>
              <w:bottom w:w="80" w:type="dxa"/>
              <w:right w:w="80" w:type="dxa"/>
            </w:tcMar>
            <w:vAlign w:val="center"/>
          </w:tcPr>
          <w:p w14:paraId="548E17DB">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kern w:val="2"/>
                <w:sz w:val="24"/>
                <w:szCs w:val="24"/>
                <w:lang w:val="en-US" w:eastAsia="zh-CN"/>
              </w:rPr>
              <w:t>1</w:t>
            </w:r>
          </w:p>
        </w:tc>
        <w:tc>
          <w:tcPr>
            <w:tcW w:w="1067" w:type="dxa"/>
            <w:shd w:val="clear" w:color="auto" w:fill="auto"/>
            <w:noWrap w:val="0"/>
            <w:tcMar>
              <w:top w:w="80" w:type="dxa"/>
              <w:left w:w="80" w:type="dxa"/>
              <w:bottom w:w="80" w:type="dxa"/>
              <w:right w:w="80" w:type="dxa"/>
            </w:tcMar>
            <w:vAlign w:val="center"/>
          </w:tcPr>
          <w:p w14:paraId="64AD1648">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rPr>
            </w:pPr>
            <w:bookmarkStart w:id="0" w:name="_Hlk149423352"/>
            <w:r>
              <w:rPr>
                <w:rFonts w:hint="eastAsia" w:ascii="方正仿宋_GBK" w:hAnsi="方正仿宋_GBK" w:eastAsia="方正仿宋_GBK" w:cs="方正仿宋_GBK"/>
                <w:color w:val="auto"/>
                <w:kern w:val="2"/>
                <w:sz w:val="24"/>
                <w:szCs w:val="24"/>
              </w:rPr>
              <w:t>团队成员配置评分</w:t>
            </w:r>
            <w:bookmarkEnd w:id="0"/>
          </w:p>
        </w:tc>
        <w:tc>
          <w:tcPr>
            <w:tcW w:w="3680" w:type="dxa"/>
            <w:shd w:val="clear" w:color="auto" w:fill="auto"/>
            <w:noWrap w:val="0"/>
            <w:tcMar>
              <w:top w:w="80" w:type="dxa"/>
              <w:left w:w="80" w:type="dxa"/>
              <w:bottom w:w="80" w:type="dxa"/>
              <w:right w:w="80" w:type="dxa"/>
            </w:tcMar>
            <w:vAlign w:val="center"/>
          </w:tcPr>
          <w:p w14:paraId="6644139F">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highlight w:val="none"/>
                <w:lang w:val="en-US" w:eastAsia="zh-CN"/>
              </w:rPr>
            </w:pPr>
            <w:r>
              <w:rPr>
                <w:rFonts w:hint="eastAsia" w:ascii="方正仿宋_GBK" w:hAnsi="方正仿宋_GBK" w:eastAsia="方正仿宋_GBK" w:cs="方正仿宋_GBK"/>
                <w:color w:val="auto"/>
                <w:kern w:val="2"/>
                <w:sz w:val="24"/>
                <w:szCs w:val="24"/>
                <w:highlight w:val="none"/>
                <w:lang w:val="en-US" w:eastAsia="zh-CN"/>
              </w:rPr>
              <w:t>根据拟派本项目服务人员人数、岗位、从业经验情况。</w:t>
            </w:r>
          </w:p>
          <w:p w14:paraId="35F9CDF8">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highlight w:val="none"/>
                <w:lang w:val="en-US" w:eastAsia="zh-CN"/>
              </w:rPr>
            </w:pPr>
            <w:r>
              <w:rPr>
                <w:rFonts w:hint="eastAsia" w:ascii="方正仿宋_GBK" w:hAnsi="方正仿宋_GBK" w:eastAsia="方正仿宋_GBK" w:cs="方正仿宋_GBK"/>
                <w:color w:val="auto"/>
                <w:kern w:val="2"/>
                <w:sz w:val="24"/>
                <w:szCs w:val="24"/>
                <w:highlight w:val="none"/>
                <w:lang w:val="en-US" w:eastAsia="zh-CN"/>
              </w:rPr>
              <w:t>评审内容：</w:t>
            </w:r>
          </w:p>
          <w:p w14:paraId="5F743988">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highlight w:val="none"/>
                <w:lang w:val="en-US" w:eastAsia="zh-CN"/>
              </w:rPr>
            </w:pPr>
            <w:r>
              <w:rPr>
                <w:rFonts w:hint="eastAsia" w:ascii="方正仿宋_GBK" w:hAnsi="方正仿宋_GBK" w:eastAsia="方正仿宋_GBK" w:cs="方正仿宋_GBK"/>
                <w:color w:val="auto"/>
                <w:kern w:val="2"/>
                <w:sz w:val="24"/>
                <w:szCs w:val="24"/>
                <w:highlight w:val="none"/>
                <w:lang w:val="en-US" w:eastAsia="zh-CN"/>
              </w:rPr>
              <w:t>1、拟派服务人员10人及以上；</w:t>
            </w:r>
          </w:p>
          <w:p w14:paraId="1415B782">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highlight w:val="none"/>
                <w:lang w:val="en-US" w:eastAsia="zh-CN"/>
              </w:rPr>
            </w:pPr>
            <w:r>
              <w:rPr>
                <w:rFonts w:hint="eastAsia" w:ascii="方正仿宋_GBK" w:hAnsi="方正仿宋_GBK" w:eastAsia="方正仿宋_GBK" w:cs="方正仿宋_GBK"/>
                <w:color w:val="auto"/>
                <w:kern w:val="2"/>
                <w:sz w:val="24"/>
                <w:szCs w:val="24"/>
                <w:highlight w:val="none"/>
                <w:lang w:val="en-US" w:eastAsia="zh-CN"/>
              </w:rPr>
              <w:t>2、项目组成员（负责人除外），会计或相关专业本科及以上学历，具有中级会计师职称，从业经验三年以上。</w:t>
            </w:r>
          </w:p>
          <w:p w14:paraId="270CACB2">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highlight w:val="none"/>
                <w:lang w:val="en-US" w:eastAsia="zh-CN"/>
              </w:rPr>
            </w:pPr>
            <w:r>
              <w:rPr>
                <w:rFonts w:hint="eastAsia" w:ascii="方正仿宋_GBK" w:hAnsi="方正仿宋_GBK" w:eastAsia="方正仿宋_GBK" w:cs="方正仿宋_GBK"/>
                <w:color w:val="auto"/>
                <w:kern w:val="2"/>
                <w:sz w:val="24"/>
                <w:szCs w:val="24"/>
                <w:highlight w:val="none"/>
                <w:lang w:val="en-US" w:eastAsia="zh-CN"/>
              </w:rPr>
              <w:t>评分标准：</w:t>
            </w:r>
          </w:p>
          <w:p w14:paraId="755B6132">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highlight w:val="none"/>
                <w:lang w:val="en-US" w:eastAsia="zh-CN"/>
              </w:rPr>
            </w:pPr>
            <w:r>
              <w:rPr>
                <w:rFonts w:hint="eastAsia" w:ascii="方正仿宋_GBK" w:hAnsi="方正仿宋_GBK" w:eastAsia="方正仿宋_GBK" w:cs="方正仿宋_GBK"/>
                <w:color w:val="auto"/>
                <w:kern w:val="2"/>
                <w:sz w:val="24"/>
                <w:szCs w:val="24"/>
                <w:highlight w:val="none"/>
                <w:lang w:val="en-US" w:eastAsia="zh-CN"/>
              </w:rPr>
              <w:t>1、满足上述条件的每项得4分，最高得8分；</w:t>
            </w:r>
          </w:p>
          <w:p w14:paraId="3F8D7E96">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highlight w:val="none"/>
                <w:lang w:val="en-US" w:eastAsia="zh-CN"/>
              </w:rPr>
              <w:t>2、在此基础上，由评标委员进行评价：（1）团队配置科学合理，从业经验丰富，评审为优加12分；（2）团队配置较为合理，从业经验较为丰富，评审为良加8分；（3）团队配置一般，从业经验一般，评审为中加4分；（4）团队配置不太合理，缺乏从业经验，评审为差不加分。</w:t>
            </w:r>
          </w:p>
        </w:tc>
        <w:tc>
          <w:tcPr>
            <w:tcW w:w="1929" w:type="dxa"/>
            <w:shd w:val="clear" w:color="auto" w:fill="auto"/>
            <w:noWrap w:val="0"/>
            <w:tcMar>
              <w:top w:w="80" w:type="dxa"/>
              <w:left w:w="80" w:type="dxa"/>
              <w:bottom w:w="80" w:type="dxa"/>
              <w:right w:w="80" w:type="dxa"/>
            </w:tcMar>
            <w:vAlign w:val="center"/>
          </w:tcPr>
          <w:p w14:paraId="5C6D16FD">
            <w:pPr>
              <w:keepNext w:val="0"/>
              <w:keepLines w:val="0"/>
              <w:pageBreakBefore w:val="0"/>
              <w:widowControl w:val="0"/>
              <w:tabs>
                <w:tab w:val="left" w:pos="420"/>
                <w:tab w:val="left" w:pos="840"/>
                <w:tab w:val="left" w:pos="126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rPr>
              <w:t>提供拟派遣人员的业绩合同和专业证书（如相关专业毕业证、从业证等）复印件加盖公章</w:t>
            </w:r>
            <w:r>
              <w:rPr>
                <w:rFonts w:hint="eastAsia" w:ascii="方正仿宋_GBK" w:hAnsi="方正仿宋_GBK" w:eastAsia="方正仿宋_GBK" w:cs="方正仿宋_GBK"/>
                <w:color w:val="auto"/>
                <w:kern w:val="2"/>
                <w:sz w:val="24"/>
                <w:szCs w:val="24"/>
                <w:lang w:eastAsia="zh-CN"/>
              </w:rPr>
              <w:t>。</w:t>
            </w:r>
            <w:r>
              <w:rPr>
                <w:rFonts w:hint="eastAsia" w:ascii="方正仿宋_GBK" w:hAnsi="方正仿宋_GBK" w:eastAsia="方正仿宋_GBK" w:cs="方正仿宋_GBK"/>
                <w:color w:val="auto"/>
                <w:kern w:val="2"/>
                <w:sz w:val="24"/>
                <w:szCs w:val="24"/>
                <w:lang w:val="en-US" w:eastAsia="zh-CN"/>
              </w:rPr>
              <w:t>（业绩合同可以仅提供关键页及盖章页，其它具体内容可不提供，</w:t>
            </w:r>
            <w:r>
              <w:rPr>
                <w:rFonts w:hint="eastAsia" w:ascii="方正仿宋_GBK" w:hAnsi="方正仿宋_GBK" w:eastAsia="方正仿宋_GBK" w:cs="方正仿宋_GBK"/>
                <w:color w:val="auto"/>
                <w:sz w:val="24"/>
                <w:szCs w:val="24"/>
              </w:rPr>
              <w:t>如不能体现须提供业绩工作单位证明扫描件</w:t>
            </w:r>
            <w:r>
              <w:rPr>
                <w:rFonts w:hint="eastAsia" w:ascii="方正仿宋_GBK" w:hAnsi="方正仿宋_GBK" w:eastAsia="方正仿宋_GBK" w:cs="方正仿宋_GBK"/>
                <w:color w:val="auto"/>
                <w:kern w:val="2"/>
                <w:sz w:val="24"/>
                <w:szCs w:val="24"/>
                <w:lang w:val="en-US" w:eastAsia="zh-CN"/>
              </w:rPr>
              <w:t>）</w:t>
            </w:r>
          </w:p>
        </w:tc>
        <w:tc>
          <w:tcPr>
            <w:tcW w:w="805" w:type="dxa"/>
            <w:shd w:val="clear" w:color="auto" w:fill="auto"/>
            <w:noWrap w:val="0"/>
            <w:tcMar>
              <w:top w:w="80" w:type="dxa"/>
              <w:left w:w="80" w:type="dxa"/>
              <w:bottom w:w="80" w:type="dxa"/>
              <w:right w:w="80" w:type="dxa"/>
            </w:tcMar>
            <w:vAlign w:val="center"/>
          </w:tcPr>
          <w:p w14:paraId="7ECE454E">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highlight w:val="none"/>
                <w:lang w:val="en-US" w:eastAsia="zh-CN"/>
              </w:rPr>
              <w:t>20</w:t>
            </w:r>
            <w:r>
              <w:rPr>
                <w:rFonts w:hint="eastAsia" w:ascii="方正仿宋_GBK" w:hAnsi="方正仿宋_GBK" w:eastAsia="方正仿宋_GBK" w:cs="方正仿宋_GBK"/>
                <w:color w:val="auto"/>
                <w:kern w:val="2"/>
                <w:sz w:val="24"/>
                <w:szCs w:val="24"/>
                <w:highlight w:val="none"/>
              </w:rPr>
              <w:t>分</w:t>
            </w:r>
          </w:p>
        </w:tc>
      </w:tr>
      <w:tr w14:paraId="72FA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693" w:hRule="atLeast"/>
          <w:jc w:val="center"/>
        </w:trPr>
        <w:tc>
          <w:tcPr>
            <w:tcW w:w="755" w:type="dxa"/>
            <w:shd w:val="clear" w:color="auto" w:fill="auto"/>
            <w:noWrap w:val="0"/>
            <w:tcMar>
              <w:top w:w="80" w:type="dxa"/>
              <w:left w:w="80" w:type="dxa"/>
              <w:bottom w:w="80" w:type="dxa"/>
              <w:right w:w="80" w:type="dxa"/>
            </w:tcMar>
            <w:vAlign w:val="center"/>
          </w:tcPr>
          <w:p w14:paraId="48DD053D">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1067" w:type="dxa"/>
            <w:shd w:val="clear" w:color="auto" w:fill="auto"/>
            <w:noWrap w:val="0"/>
            <w:tcMar>
              <w:top w:w="80" w:type="dxa"/>
              <w:left w:w="80" w:type="dxa"/>
              <w:bottom w:w="80" w:type="dxa"/>
              <w:right w:w="80" w:type="dxa"/>
            </w:tcMar>
            <w:vAlign w:val="center"/>
          </w:tcPr>
          <w:p w14:paraId="7055E6CF">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rPr>
              <w:t>技术服务方案评审</w:t>
            </w:r>
          </w:p>
        </w:tc>
        <w:tc>
          <w:tcPr>
            <w:tcW w:w="3680" w:type="dxa"/>
            <w:shd w:val="clear" w:color="auto" w:fill="auto"/>
            <w:noWrap w:val="0"/>
            <w:tcMar>
              <w:top w:w="80" w:type="dxa"/>
              <w:left w:w="80" w:type="dxa"/>
              <w:bottom w:w="80" w:type="dxa"/>
              <w:right w:w="80" w:type="dxa"/>
            </w:tcMar>
            <w:vAlign w:val="center"/>
          </w:tcPr>
          <w:p w14:paraId="3B0D1005">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根据对本项目工作内容的理解是否全面、准确进行评审。</w:t>
            </w:r>
          </w:p>
          <w:p w14:paraId="1F3264B0">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评审内容：</w:t>
            </w:r>
          </w:p>
          <w:p w14:paraId="2C57B6DF">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1、任务分解情况；</w:t>
            </w:r>
          </w:p>
          <w:p w14:paraId="5D2224D4">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2、技术服务团队工作职责及运作安排情况；</w:t>
            </w:r>
          </w:p>
          <w:p w14:paraId="08754638">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3、各项过程技术服务成果质量把控能力；</w:t>
            </w:r>
          </w:p>
          <w:p w14:paraId="0BC03DC4">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4、过程资料及档案管理、其他相关事宜。</w:t>
            </w:r>
          </w:p>
          <w:p w14:paraId="736F0BF0">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评分标准：</w:t>
            </w:r>
          </w:p>
          <w:p w14:paraId="4138781E">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1、提供上述方案内容的每项得5分，最高得20分；</w:t>
            </w:r>
          </w:p>
          <w:p w14:paraId="2D2D75FA">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kern w:val="2"/>
                <w:sz w:val="24"/>
                <w:szCs w:val="24"/>
                <w:highlight w:val="none"/>
              </w:rPr>
              <w:t>2、在此基础上，由评标委员进行评价：（1）方案整体科学合理、针对性强、可操作性强，评审为优加15分；（2）方案较为合理、有一定针对性、一定可操作性，评审为良加10分；（3）方案一般、针对性一般、可操作性一般，评审为中加5分；（4）方案不太合理、无针对性、无可操作性，评审为差不加分。</w:t>
            </w:r>
          </w:p>
        </w:tc>
        <w:tc>
          <w:tcPr>
            <w:tcW w:w="1929" w:type="dxa"/>
            <w:shd w:val="clear" w:color="auto" w:fill="auto"/>
            <w:noWrap w:val="0"/>
            <w:tcMar>
              <w:top w:w="80" w:type="dxa"/>
              <w:left w:w="80" w:type="dxa"/>
              <w:bottom w:w="80" w:type="dxa"/>
              <w:right w:w="80" w:type="dxa"/>
            </w:tcMar>
            <w:vAlign w:val="center"/>
          </w:tcPr>
          <w:p w14:paraId="3AEE48C8">
            <w:pPr>
              <w:keepNext w:val="0"/>
              <w:keepLines w:val="0"/>
              <w:pageBreakBefore w:val="0"/>
              <w:widowControl w:val="0"/>
              <w:tabs>
                <w:tab w:val="left" w:pos="420"/>
                <w:tab w:val="left" w:pos="840"/>
                <w:tab w:val="left" w:pos="126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rPr>
              <w:t>提供技术服务方案，并加盖公章</w:t>
            </w:r>
          </w:p>
        </w:tc>
        <w:tc>
          <w:tcPr>
            <w:tcW w:w="805" w:type="dxa"/>
            <w:shd w:val="clear" w:color="auto" w:fill="auto"/>
            <w:noWrap w:val="0"/>
            <w:tcMar>
              <w:top w:w="80" w:type="dxa"/>
              <w:left w:w="80" w:type="dxa"/>
              <w:bottom w:w="80" w:type="dxa"/>
              <w:right w:w="80" w:type="dxa"/>
            </w:tcMar>
            <w:vAlign w:val="center"/>
          </w:tcPr>
          <w:p w14:paraId="7CFE0E88">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lang w:val="en-US" w:eastAsia="zh-CN"/>
              </w:rPr>
              <w:t>35</w:t>
            </w:r>
            <w:r>
              <w:rPr>
                <w:rFonts w:hint="eastAsia" w:ascii="方正仿宋_GBK" w:hAnsi="方正仿宋_GBK" w:eastAsia="方正仿宋_GBK" w:cs="方正仿宋_GBK"/>
                <w:color w:val="auto"/>
                <w:kern w:val="2"/>
                <w:sz w:val="24"/>
                <w:szCs w:val="24"/>
              </w:rPr>
              <w:t>分</w:t>
            </w:r>
          </w:p>
        </w:tc>
      </w:tr>
      <w:tr w14:paraId="001C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560" w:hRule="atLeast"/>
          <w:jc w:val="center"/>
        </w:trPr>
        <w:tc>
          <w:tcPr>
            <w:tcW w:w="755" w:type="dxa"/>
            <w:shd w:val="clear" w:color="auto" w:fill="FFFFFF"/>
            <w:noWrap w:val="0"/>
            <w:tcMar>
              <w:top w:w="80" w:type="dxa"/>
              <w:left w:w="80" w:type="dxa"/>
              <w:bottom w:w="80" w:type="dxa"/>
              <w:right w:w="80" w:type="dxa"/>
            </w:tcMar>
            <w:vAlign w:val="center"/>
          </w:tcPr>
          <w:p w14:paraId="31949AC4">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w:t>
            </w:r>
          </w:p>
        </w:tc>
        <w:tc>
          <w:tcPr>
            <w:tcW w:w="1067" w:type="dxa"/>
            <w:shd w:val="clear" w:color="auto" w:fill="FFFFFF"/>
            <w:noWrap w:val="0"/>
            <w:tcMar>
              <w:top w:w="80" w:type="dxa"/>
              <w:left w:w="80" w:type="dxa"/>
              <w:bottom w:w="80" w:type="dxa"/>
              <w:right w:w="80" w:type="dxa"/>
            </w:tcMar>
            <w:vAlign w:val="center"/>
          </w:tcPr>
          <w:p w14:paraId="5C01517D">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kern w:val="2"/>
                <w:sz w:val="24"/>
                <w:szCs w:val="24"/>
                <w:lang w:val="en-US"/>
              </w:rPr>
            </w:pPr>
            <w:r>
              <w:rPr>
                <w:rFonts w:hint="eastAsia" w:ascii="方正仿宋_GBK" w:hAnsi="方正仿宋_GBK" w:eastAsia="方正仿宋_GBK" w:cs="方正仿宋_GBK"/>
                <w:color w:val="auto"/>
                <w:kern w:val="2"/>
                <w:sz w:val="24"/>
                <w:szCs w:val="24"/>
                <w:lang w:val="en-US"/>
              </w:rPr>
              <w:t>报价</w:t>
            </w:r>
          </w:p>
          <w:p w14:paraId="331B63CE">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rPr>
              <w:t>得分</w:t>
            </w:r>
          </w:p>
        </w:tc>
        <w:tc>
          <w:tcPr>
            <w:tcW w:w="3680" w:type="dxa"/>
            <w:shd w:val="clear" w:color="auto" w:fill="FFFFFF"/>
            <w:noWrap w:val="0"/>
            <w:tcMar>
              <w:top w:w="80" w:type="dxa"/>
              <w:left w:w="80" w:type="dxa"/>
              <w:bottom w:w="80" w:type="dxa"/>
              <w:right w:w="80" w:type="dxa"/>
            </w:tcMar>
            <w:vAlign w:val="center"/>
          </w:tcPr>
          <w:p w14:paraId="024535DD">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满足招标文件要求且投标价格最低的投标报价为评标基准价，其价格分为满分。其他投标人的价格分统一按照下列公式计算：</w:t>
            </w:r>
          </w:p>
          <w:p w14:paraId="375C1F24">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投标报价得分=(评标基准价／投标报价)×价格权重（</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0%）×100。</w:t>
            </w:r>
          </w:p>
        </w:tc>
        <w:tc>
          <w:tcPr>
            <w:tcW w:w="1929" w:type="dxa"/>
            <w:shd w:val="clear" w:color="auto" w:fill="FFFFFF"/>
            <w:noWrap w:val="0"/>
            <w:tcMar>
              <w:top w:w="80" w:type="dxa"/>
              <w:left w:w="80" w:type="dxa"/>
              <w:bottom w:w="80" w:type="dxa"/>
              <w:right w:w="80" w:type="dxa"/>
            </w:tcMar>
            <w:vAlign w:val="center"/>
          </w:tcPr>
          <w:p w14:paraId="7CC83459">
            <w:pPr>
              <w:keepNext w:val="0"/>
              <w:keepLines w:val="0"/>
              <w:pageBreakBefore w:val="0"/>
              <w:widowControl w:val="0"/>
              <w:tabs>
                <w:tab w:val="left" w:pos="420"/>
                <w:tab w:val="left" w:pos="840"/>
                <w:tab w:val="left" w:pos="126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rPr>
              <w:t>提供响应报价，并加盖公章</w:t>
            </w:r>
          </w:p>
        </w:tc>
        <w:tc>
          <w:tcPr>
            <w:tcW w:w="805" w:type="dxa"/>
            <w:shd w:val="clear" w:color="auto" w:fill="FFFFFF"/>
            <w:noWrap w:val="0"/>
            <w:tcMar>
              <w:top w:w="80" w:type="dxa"/>
              <w:left w:w="80" w:type="dxa"/>
              <w:bottom w:w="80" w:type="dxa"/>
              <w:right w:w="80" w:type="dxa"/>
            </w:tcMar>
            <w:vAlign w:val="center"/>
          </w:tcPr>
          <w:p w14:paraId="0C2306D5">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rPr>
              <w:t>20</w:t>
            </w:r>
            <w:r>
              <w:rPr>
                <w:rFonts w:hint="eastAsia" w:ascii="方正仿宋_GBK" w:hAnsi="方正仿宋_GBK" w:eastAsia="方正仿宋_GBK" w:cs="方正仿宋_GBK"/>
                <w:color w:val="auto"/>
                <w:kern w:val="2"/>
                <w:sz w:val="24"/>
                <w:szCs w:val="24"/>
              </w:rPr>
              <w:t>分</w:t>
            </w:r>
          </w:p>
        </w:tc>
      </w:tr>
      <w:tr w14:paraId="6C5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755" w:type="dxa"/>
            <w:shd w:val="clear" w:color="auto" w:fill="auto"/>
            <w:noWrap w:val="0"/>
            <w:tcMar>
              <w:top w:w="80" w:type="dxa"/>
              <w:left w:w="80" w:type="dxa"/>
              <w:bottom w:w="80" w:type="dxa"/>
              <w:right w:w="80" w:type="dxa"/>
            </w:tcMar>
            <w:vAlign w:val="center"/>
          </w:tcPr>
          <w:p w14:paraId="79AB0A8A">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default" w:ascii="方正仿宋_GBK" w:hAnsi="方正仿宋_GBK" w:eastAsia="方正仿宋_GBK" w:cs="方正仿宋_GBK"/>
                <w:color w:val="auto"/>
                <w:kern w:val="2"/>
                <w:sz w:val="24"/>
                <w:szCs w:val="24"/>
                <w:lang w:val="en-US" w:eastAsia="zh-CN"/>
              </w:rPr>
            </w:pPr>
            <w:r>
              <w:rPr>
                <w:rFonts w:hint="eastAsia" w:ascii="方正仿宋_GBK" w:hAnsi="方正仿宋_GBK" w:eastAsia="方正仿宋_GBK" w:cs="方正仿宋_GBK"/>
                <w:color w:val="auto"/>
                <w:kern w:val="2"/>
                <w:sz w:val="24"/>
                <w:szCs w:val="24"/>
                <w:lang w:val="en-US" w:eastAsia="zh-CN"/>
              </w:rPr>
              <w:t>4</w:t>
            </w:r>
          </w:p>
        </w:tc>
        <w:tc>
          <w:tcPr>
            <w:tcW w:w="1067" w:type="dxa"/>
            <w:shd w:val="clear" w:color="auto" w:fill="auto"/>
            <w:noWrap w:val="0"/>
            <w:tcMar>
              <w:top w:w="80" w:type="dxa"/>
              <w:left w:w="80" w:type="dxa"/>
              <w:bottom w:w="80" w:type="dxa"/>
              <w:right w:w="80" w:type="dxa"/>
            </w:tcMar>
            <w:vAlign w:val="center"/>
          </w:tcPr>
          <w:p w14:paraId="1445DFB9">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kern w:val="2"/>
                <w:sz w:val="24"/>
                <w:szCs w:val="24"/>
                <w:lang w:val="en-US"/>
              </w:rPr>
            </w:pPr>
            <w:r>
              <w:rPr>
                <w:rFonts w:hint="eastAsia" w:ascii="方正仿宋_GBK" w:hAnsi="方正仿宋_GBK" w:eastAsia="方正仿宋_GBK" w:cs="方正仿宋_GBK"/>
                <w:color w:val="auto"/>
                <w:kern w:val="2"/>
                <w:sz w:val="24"/>
                <w:szCs w:val="24"/>
                <w:lang w:val="en-US" w:eastAsia="zh-CN"/>
              </w:rPr>
              <w:t>服务业绩得分</w:t>
            </w:r>
          </w:p>
        </w:tc>
        <w:tc>
          <w:tcPr>
            <w:tcW w:w="3680" w:type="dxa"/>
            <w:shd w:val="clear" w:color="auto" w:fill="auto"/>
            <w:noWrap w:val="0"/>
            <w:tcMar>
              <w:top w:w="80" w:type="dxa"/>
              <w:left w:w="80" w:type="dxa"/>
              <w:bottom w:w="80" w:type="dxa"/>
              <w:right w:w="80" w:type="dxa"/>
            </w:tcMar>
            <w:vAlign w:val="center"/>
          </w:tcPr>
          <w:p w14:paraId="74438515">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lang w:val="en-US" w:eastAsia="zh-CN"/>
              </w:rPr>
            </w:pPr>
            <w:r>
              <w:rPr>
                <w:rFonts w:hint="eastAsia" w:ascii="方正仿宋_GBK" w:hAnsi="方正仿宋_GBK" w:eastAsia="方正仿宋_GBK" w:cs="方正仿宋_GBK"/>
                <w:color w:val="auto"/>
                <w:kern w:val="2"/>
                <w:sz w:val="24"/>
                <w:szCs w:val="24"/>
                <w:lang w:val="en-US" w:eastAsia="zh-CN"/>
              </w:rPr>
              <w:t>提供近三年（2021年6月1日至本项目开标之日，以合同签订时间为准）财务年审及专项审计服务案例业绩：</w:t>
            </w:r>
          </w:p>
          <w:p w14:paraId="3A89D884">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lang w:val="en-US" w:eastAsia="zh-CN"/>
              </w:rPr>
            </w:pPr>
            <w:r>
              <w:rPr>
                <w:rFonts w:hint="eastAsia" w:ascii="方正仿宋_GBK" w:hAnsi="方正仿宋_GBK" w:eastAsia="方正仿宋_GBK" w:cs="方正仿宋_GBK"/>
                <w:color w:val="auto"/>
                <w:kern w:val="2"/>
                <w:sz w:val="24"/>
                <w:szCs w:val="24"/>
                <w:lang w:val="en-US" w:eastAsia="zh-CN"/>
              </w:rPr>
              <w:t>1、提供5项及以上业绩，得15分；</w:t>
            </w:r>
          </w:p>
          <w:p w14:paraId="63BB3B32">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lang w:val="en-US" w:eastAsia="zh-CN"/>
              </w:rPr>
            </w:pPr>
            <w:r>
              <w:rPr>
                <w:rFonts w:hint="eastAsia" w:ascii="方正仿宋_GBK" w:hAnsi="方正仿宋_GBK" w:eastAsia="方正仿宋_GBK" w:cs="方正仿宋_GBK"/>
                <w:color w:val="auto"/>
                <w:kern w:val="2"/>
                <w:sz w:val="24"/>
                <w:szCs w:val="24"/>
                <w:lang w:val="en-US" w:eastAsia="zh-CN"/>
              </w:rPr>
              <w:t>2、提供3-4项业绩，得10分；</w:t>
            </w:r>
          </w:p>
          <w:p w14:paraId="53972B92">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color w:val="auto"/>
                <w:kern w:val="2"/>
                <w:sz w:val="24"/>
                <w:szCs w:val="24"/>
                <w:lang w:val="en-US" w:eastAsia="zh-CN"/>
              </w:rPr>
            </w:pPr>
            <w:r>
              <w:rPr>
                <w:rFonts w:hint="eastAsia" w:ascii="方正仿宋_GBK" w:hAnsi="方正仿宋_GBK" w:eastAsia="方正仿宋_GBK" w:cs="方正仿宋_GBK"/>
                <w:color w:val="auto"/>
                <w:kern w:val="2"/>
                <w:sz w:val="24"/>
                <w:szCs w:val="24"/>
                <w:lang w:val="en-US" w:eastAsia="zh-CN"/>
              </w:rPr>
              <w:t>3、提供1-2项业绩，得5分。</w:t>
            </w:r>
          </w:p>
          <w:p w14:paraId="7A25624B">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val="0"/>
              <w:snapToGrid w:val="0"/>
              <w:spacing w:before="0" w:line="240" w:lineRule="auto"/>
              <w:jc w:val="both"/>
              <w:textAlignment w:val="auto"/>
              <w:rPr>
                <w:rFonts w:hint="eastAsia" w:ascii="方正仿宋_GBK" w:hAnsi="方正仿宋_GBK" w:eastAsia="方正仿宋_GBK" w:cs="方正仿宋_GBK"/>
                <w:bCs/>
                <w:color w:val="auto"/>
                <w:sz w:val="24"/>
                <w:szCs w:val="24"/>
                <w:highlight w:val="yellow"/>
                <w:lang w:val="en-US"/>
              </w:rPr>
            </w:pPr>
            <w:r>
              <w:rPr>
                <w:rFonts w:hint="eastAsia" w:ascii="方正仿宋_GBK" w:hAnsi="方正仿宋_GBK" w:eastAsia="方正仿宋_GBK" w:cs="方正仿宋_GBK"/>
                <w:color w:val="auto"/>
                <w:kern w:val="2"/>
                <w:sz w:val="24"/>
                <w:szCs w:val="24"/>
                <w:lang w:val="en-US" w:eastAsia="zh-CN"/>
              </w:rPr>
              <w:t>重复项目仅作一次统计。</w:t>
            </w:r>
          </w:p>
        </w:tc>
        <w:tc>
          <w:tcPr>
            <w:tcW w:w="1929" w:type="dxa"/>
            <w:shd w:val="clear" w:color="auto" w:fill="auto"/>
            <w:noWrap w:val="0"/>
            <w:tcMar>
              <w:top w:w="80" w:type="dxa"/>
              <w:left w:w="80" w:type="dxa"/>
              <w:bottom w:w="80" w:type="dxa"/>
              <w:right w:w="80" w:type="dxa"/>
            </w:tcMar>
            <w:vAlign w:val="center"/>
          </w:tcPr>
          <w:p w14:paraId="26E39C15">
            <w:pPr>
              <w:keepNext w:val="0"/>
              <w:keepLines w:val="0"/>
              <w:pageBreakBefore w:val="0"/>
              <w:widowControl w:val="0"/>
              <w:tabs>
                <w:tab w:val="left" w:pos="420"/>
                <w:tab w:val="left" w:pos="840"/>
                <w:tab w:val="left" w:pos="126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highlight w:val="yellow"/>
              </w:rPr>
            </w:pPr>
            <w:r>
              <w:rPr>
                <w:rFonts w:hint="eastAsia" w:ascii="方正仿宋_GBK" w:hAnsi="方正仿宋_GBK" w:eastAsia="方正仿宋_GBK" w:cs="方正仿宋_GBK"/>
                <w:color w:val="auto"/>
                <w:kern w:val="2"/>
                <w:sz w:val="24"/>
                <w:szCs w:val="24"/>
                <w:lang w:val="en-US" w:eastAsia="zh-CN"/>
              </w:rPr>
              <w:t>提供合同复印件加盖公章（如相关合同涉及商业秘密，响应单位可自行隐去关键内容，体现合同签订时间、合同双方签字盖章即可）</w:t>
            </w:r>
          </w:p>
        </w:tc>
        <w:tc>
          <w:tcPr>
            <w:tcW w:w="805" w:type="dxa"/>
            <w:shd w:val="clear" w:color="auto" w:fill="auto"/>
            <w:noWrap w:val="0"/>
            <w:tcMar>
              <w:top w:w="80" w:type="dxa"/>
              <w:left w:w="80" w:type="dxa"/>
              <w:bottom w:w="80" w:type="dxa"/>
              <w:right w:w="80" w:type="dxa"/>
            </w:tcMar>
            <w:vAlign w:val="center"/>
          </w:tcPr>
          <w:p w14:paraId="28FC3F15">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rPr>
              <w:t>15分</w:t>
            </w:r>
          </w:p>
        </w:tc>
      </w:tr>
      <w:tr w14:paraId="6CA1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755" w:type="dxa"/>
            <w:shd w:val="clear" w:color="auto" w:fill="auto"/>
            <w:noWrap w:val="0"/>
            <w:tcMar>
              <w:top w:w="80" w:type="dxa"/>
              <w:left w:w="80" w:type="dxa"/>
              <w:bottom w:w="80" w:type="dxa"/>
              <w:right w:w="80" w:type="dxa"/>
            </w:tcMar>
            <w:vAlign w:val="center"/>
          </w:tcPr>
          <w:p w14:paraId="4AF049DF">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default" w:ascii="方正仿宋_GBK" w:hAnsi="方正仿宋_GBK" w:eastAsia="方正仿宋_GBK" w:cs="方正仿宋_GBK"/>
                <w:color w:val="auto"/>
                <w:kern w:val="2"/>
                <w:sz w:val="24"/>
                <w:szCs w:val="24"/>
                <w:lang w:val="en-US" w:eastAsia="zh-CN"/>
              </w:rPr>
            </w:pPr>
            <w:r>
              <w:rPr>
                <w:rFonts w:hint="eastAsia" w:ascii="方正仿宋_GBK" w:hAnsi="方正仿宋_GBK" w:eastAsia="方正仿宋_GBK" w:cs="方正仿宋_GBK"/>
                <w:color w:val="auto"/>
                <w:kern w:val="2"/>
                <w:sz w:val="24"/>
                <w:szCs w:val="24"/>
                <w:lang w:val="en-US" w:eastAsia="zh-CN"/>
              </w:rPr>
              <w:t>5</w:t>
            </w:r>
          </w:p>
        </w:tc>
        <w:tc>
          <w:tcPr>
            <w:tcW w:w="1067" w:type="dxa"/>
            <w:shd w:val="clear" w:color="auto" w:fill="auto"/>
            <w:noWrap w:val="0"/>
            <w:tcMar>
              <w:top w:w="80" w:type="dxa"/>
              <w:left w:w="80" w:type="dxa"/>
              <w:bottom w:w="80" w:type="dxa"/>
              <w:right w:w="80" w:type="dxa"/>
            </w:tcMar>
            <w:vAlign w:val="center"/>
          </w:tcPr>
          <w:p w14:paraId="1ECDAAA9">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kern w:val="2"/>
                <w:sz w:val="24"/>
                <w:szCs w:val="24"/>
                <w:lang w:val="en-US" w:eastAsia="zh-CN"/>
              </w:rPr>
            </w:pPr>
            <w:r>
              <w:rPr>
                <w:rFonts w:hint="eastAsia" w:ascii="方正仿宋_GBK" w:hAnsi="方正仿宋_GBK" w:eastAsia="方正仿宋_GBK" w:cs="方正仿宋_GBK"/>
                <w:color w:val="auto"/>
                <w:kern w:val="2"/>
                <w:sz w:val="24"/>
                <w:szCs w:val="24"/>
                <w:lang w:val="en-US" w:eastAsia="zh-CN"/>
              </w:rPr>
              <w:t>公共信  用得分</w:t>
            </w:r>
          </w:p>
        </w:tc>
        <w:tc>
          <w:tcPr>
            <w:tcW w:w="3680" w:type="dxa"/>
            <w:shd w:val="clear" w:color="auto" w:fill="auto"/>
            <w:noWrap w:val="0"/>
            <w:tcMar>
              <w:top w:w="80" w:type="dxa"/>
              <w:left w:w="80" w:type="dxa"/>
              <w:bottom w:w="80" w:type="dxa"/>
              <w:right w:w="80" w:type="dxa"/>
            </w:tcMar>
            <w:vAlign w:val="center"/>
          </w:tcPr>
          <w:p w14:paraId="2468B6F6">
            <w:pPr>
              <w:keepNext w:val="0"/>
              <w:keepLines w:val="0"/>
              <w:pageBreakBefore w:val="0"/>
              <w:widowControl w:val="0"/>
              <w:tabs>
                <w:tab w:val="left" w:pos="840"/>
                <w:tab w:val="left" w:pos="1680"/>
                <w:tab w:val="left" w:pos="2520"/>
                <w:tab w:val="left" w:pos="3360"/>
              </w:tabs>
              <w:kinsoku/>
              <w:wordWrap/>
              <w:overflowPunct/>
              <w:topLinePunct w:val="0"/>
              <w:autoSpaceDE/>
              <w:autoSpaceDN/>
              <w:bidi w:val="0"/>
              <w:adjustRightInd w:val="0"/>
              <w:snapToGrid w:val="0"/>
              <w:spacing w:before="0" w:line="240" w:lineRule="auto"/>
              <w:jc w:val="left"/>
              <w:textAlignment w:val="auto"/>
              <w:rPr>
                <w:rFonts w:hint="eastAsia" w:ascii="方正仿宋_GBK" w:hAnsi="方正仿宋_GBK" w:eastAsia="方正仿宋_GBK" w:cs="方正仿宋_GBK"/>
                <w:color w:val="auto"/>
                <w:kern w:val="2"/>
                <w:sz w:val="24"/>
                <w:szCs w:val="24"/>
                <w:lang w:val="en-US" w:eastAsia="zh-CN"/>
              </w:rPr>
            </w:pPr>
            <w:r>
              <w:rPr>
                <w:rFonts w:hint="eastAsia" w:ascii="方正仿宋_GBK" w:hAnsi="方正仿宋_GBK" w:eastAsia="方正仿宋_GBK" w:cs="方正仿宋_GBK"/>
                <w:color w:val="auto"/>
                <w:kern w:val="2"/>
                <w:sz w:val="24"/>
                <w:szCs w:val="24"/>
                <w:lang w:val="en-US" w:eastAsia="zh-CN"/>
              </w:rPr>
              <w:t>至投标截止时间，投标人有在“信用中国”网（www.creditchina.gov.cn）、中国政府采购网（www.ccgp.gov.cn）、深圳市政府采购监督管理网（zfcg.sz.gov.cn）、深圳公共资源交易中心市区政府采购统一平台</w:t>
            </w:r>
            <w:bookmarkStart w:id="1" w:name="_GoBack"/>
            <w:bookmarkEnd w:id="1"/>
            <w:r>
              <w:rPr>
                <w:rFonts w:hint="eastAsia" w:ascii="方正仿宋_GBK" w:hAnsi="方正仿宋_GBK" w:eastAsia="方正仿宋_GBK" w:cs="方正仿宋_GBK"/>
                <w:color w:val="auto"/>
                <w:kern w:val="2"/>
                <w:sz w:val="24"/>
                <w:szCs w:val="24"/>
                <w:lang w:val="en-US" w:eastAsia="zh-CN"/>
              </w:rPr>
              <w:t>和“国家企业信用信息公示系统（www.gsxt.gov.cn）等5个官网中列入“失信被执行人、重大税收违法案件当事人名单、政府采购严重违法失信行为记录名单，本项不得分，否则得满分。</w:t>
            </w:r>
          </w:p>
        </w:tc>
        <w:tc>
          <w:tcPr>
            <w:tcW w:w="1929" w:type="dxa"/>
            <w:shd w:val="clear" w:color="auto" w:fill="auto"/>
            <w:noWrap w:val="0"/>
            <w:tcMar>
              <w:top w:w="80" w:type="dxa"/>
              <w:left w:w="80" w:type="dxa"/>
              <w:bottom w:w="80" w:type="dxa"/>
              <w:right w:w="80" w:type="dxa"/>
            </w:tcMar>
            <w:vAlign w:val="center"/>
          </w:tcPr>
          <w:p w14:paraId="291AC3D3">
            <w:pPr>
              <w:keepNext w:val="0"/>
              <w:keepLines w:val="0"/>
              <w:pageBreakBefore w:val="0"/>
              <w:widowControl w:val="0"/>
              <w:tabs>
                <w:tab w:val="left" w:pos="420"/>
                <w:tab w:val="left" w:pos="840"/>
                <w:tab w:val="left" w:pos="126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kern w:val="2"/>
                <w:sz w:val="24"/>
                <w:szCs w:val="24"/>
                <w:lang w:val="en-US" w:eastAsia="zh-CN"/>
              </w:rPr>
            </w:pPr>
            <w:r>
              <w:rPr>
                <w:rFonts w:hint="eastAsia" w:ascii="方正仿宋_GBK" w:hAnsi="方正仿宋_GBK" w:eastAsia="方正仿宋_GBK" w:cs="方正仿宋_GBK"/>
                <w:color w:val="auto"/>
                <w:kern w:val="2"/>
                <w:sz w:val="24"/>
                <w:szCs w:val="24"/>
                <w:lang w:val="en-US" w:eastAsia="zh-CN"/>
              </w:rPr>
              <w:t>提供公共信用报告</w:t>
            </w:r>
          </w:p>
        </w:tc>
        <w:tc>
          <w:tcPr>
            <w:tcW w:w="805" w:type="dxa"/>
            <w:shd w:val="clear" w:color="auto" w:fill="auto"/>
            <w:noWrap w:val="0"/>
            <w:tcMar>
              <w:top w:w="80" w:type="dxa"/>
              <w:left w:w="80" w:type="dxa"/>
              <w:bottom w:w="80" w:type="dxa"/>
              <w:right w:w="80" w:type="dxa"/>
            </w:tcMar>
            <w:vAlign w:val="center"/>
          </w:tcPr>
          <w:p w14:paraId="22A477D3">
            <w:pPr>
              <w:keepNext w:val="0"/>
              <w:keepLines w:val="0"/>
              <w:pageBreakBefore w:val="0"/>
              <w:widowControl w:val="0"/>
              <w:tabs>
                <w:tab w:val="left" w:pos="420"/>
                <w:tab w:val="left" w:pos="840"/>
                <w:tab w:val="left" w:pos="126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kern w:val="2"/>
                <w:sz w:val="24"/>
                <w:szCs w:val="24"/>
                <w:lang w:val="en-US" w:eastAsia="zh-CN"/>
              </w:rPr>
            </w:pPr>
            <w:r>
              <w:rPr>
                <w:rFonts w:hint="eastAsia" w:ascii="方正仿宋_GBK" w:hAnsi="方正仿宋_GBK" w:eastAsia="方正仿宋_GBK" w:cs="方正仿宋_GBK"/>
                <w:color w:val="auto"/>
                <w:kern w:val="2"/>
                <w:sz w:val="24"/>
                <w:szCs w:val="24"/>
                <w:lang w:val="en-US" w:eastAsia="zh-CN"/>
              </w:rPr>
              <w:t>5分</w:t>
            </w:r>
          </w:p>
        </w:tc>
      </w:tr>
      <w:tr w14:paraId="0DDF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755" w:type="dxa"/>
            <w:shd w:val="clear" w:color="auto" w:fill="auto"/>
            <w:noWrap w:val="0"/>
            <w:tcMar>
              <w:top w:w="80" w:type="dxa"/>
              <w:left w:w="80" w:type="dxa"/>
              <w:bottom w:w="80" w:type="dxa"/>
              <w:right w:w="80" w:type="dxa"/>
            </w:tcMar>
            <w:vAlign w:val="center"/>
          </w:tcPr>
          <w:p w14:paraId="41C6CAF8">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default" w:ascii="方正仿宋_GBK" w:hAnsi="方正仿宋_GBK" w:eastAsia="方正仿宋_GBK" w:cs="方正仿宋_GBK"/>
                <w:color w:val="auto"/>
                <w:kern w:val="2"/>
                <w:sz w:val="24"/>
                <w:szCs w:val="24"/>
                <w:lang w:val="en-US" w:eastAsia="zh-CN"/>
              </w:rPr>
            </w:pPr>
            <w:r>
              <w:rPr>
                <w:rFonts w:hint="eastAsia" w:ascii="方正仿宋_GBK" w:hAnsi="方正仿宋_GBK" w:eastAsia="方正仿宋_GBK" w:cs="方正仿宋_GBK"/>
                <w:color w:val="auto"/>
                <w:kern w:val="2"/>
                <w:sz w:val="24"/>
                <w:szCs w:val="24"/>
                <w:lang w:val="en-US" w:eastAsia="zh-CN"/>
              </w:rPr>
              <w:t>6</w:t>
            </w:r>
          </w:p>
        </w:tc>
        <w:tc>
          <w:tcPr>
            <w:tcW w:w="1067" w:type="dxa"/>
            <w:shd w:val="clear" w:color="auto" w:fill="auto"/>
            <w:noWrap w:val="0"/>
            <w:tcMar>
              <w:top w:w="80" w:type="dxa"/>
              <w:left w:w="80" w:type="dxa"/>
              <w:bottom w:w="80" w:type="dxa"/>
              <w:right w:w="80" w:type="dxa"/>
            </w:tcMar>
            <w:vAlign w:val="center"/>
          </w:tcPr>
          <w:p w14:paraId="00921321">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kern w:val="2"/>
                <w:sz w:val="24"/>
                <w:szCs w:val="24"/>
                <w:lang w:val="en-US" w:eastAsia="zh-CN"/>
              </w:rPr>
            </w:pPr>
            <w:r>
              <w:rPr>
                <w:rFonts w:hint="eastAsia" w:ascii="方正仿宋_GBK" w:hAnsi="方正仿宋_GBK" w:eastAsia="方正仿宋_GBK" w:cs="方正仿宋_GBK"/>
                <w:color w:val="auto"/>
                <w:kern w:val="2"/>
                <w:sz w:val="24"/>
                <w:szCs w:val="24"/>
                <w:lang w:val="en-US"/>
              </w:rPr>
              <w:t>保密承诺得分</w:t>
            </w:r>
          </w:p>
        </w:tc>
        <w:tc>
          <w:tcPr>
            <w:tcW w:w="3680" w:type="dxa"/>
            <w:shd w:val="clear" w:color="auto" w:fill="auto"/>
            <w:noWrap w:val="0"/>
            <w:tcMar>
              <w:top w:w="80" w:type="dxa"/>
              <w:left w:w="80" w:type="dxa"/>
              <w:bottom w:w="80" w:type="dxa"/>
              <w:right w:w="80" w:type="dxa"/>
            </w:tcMar>
            <w:vAlign w:val="center"/>
          </w:tcPr>
          <w:p w14:paraId="441E5EE6">
            <w:pPr>
              <w:keepNext w:val="0"/>
              <w:keepLines w:val="0"/>
              <w:pageBreakBefore w:val="0"/>
              <w:widowControl w:val="0"/>
              <w:tabs>
                <w:tab w:val="left" w:pos="840"/>
                <w:tab w:val="left" w:pos="1680"/>
                <w:tab w:val="left" w:pos="2520"/>
                <w:tab w:val="left" w:pos="3360"/>
              </w:tabs>
              <w:kinsoku/>
              <w:wordWrap/>
              <w:overflowPunct/>
              <w:topLinePunct w:val="0"/>
              <w:autoSpaceDE/>
              <w:autoSpaceDN/>
              <w:bidi w:val="0"/>
              <w:adjustRightInd w:val="0"/>
              <w:snapToGrid w:val="0"/>
              <w:spacing w:before="0" w:line="240" w:lineRule="auto"/>
              <w:jc w:val="left"/>
              <w:textAlignment w:val="auto"/>
              <w:rPr>
                <w:rFonts w:hint="eastAsia" w:ascii="方正仿宋_GBK" w:hAnsi="方正仿宋_GBK" w:eastAsia="方正仿宋_GBK" w:cs="方正仿宋_GBK"/>
                <w:color w:val="auto"/>
                <w:kern w:val="2"/>
                <w:sz w:val="24"/>
                <w:szCs w:val="24"/>
                <w:lang w:val="en-US" w:eastAsia="zh-CN"/>
              </w:rPr>
            </w:pPr>
            <w:r>
              <w:rPr>
                <w:rFonts w:hint="eastAsia" w:ascii="方正仿宋_GBK" w:hAnsi="方正仿宋_GBK" w:eastAsia="方正仿宋_GBK" w:cs="方正仿宋_GBK"/>
                <w:color w:val="auto"/>
                <w:kern w:val="2"/>
                <w:sz w:val="24"/>
                <w:szCs w:val="24"/>
                <w:lang w:val="en-US" w:eastAsia="zh-CN"/>
              </w:rPr>
              <w:t>投标人承诺参与本次投标过程中，严格保守所有信息、不得传播或用于其他用途。未提供承诺书不得分，否则得满分。</w:t>
            </w:r>
          </w:p>
        </w:tc>
        <w:tc>
          <w:tcPr>
            <w:tcW w:w="1929" w:type="dxa"/>
            <w:shd w:val="clear" w:color="auto" w:fill="auto"/>
            <w:noWrap w:val="0"/>
            <w:tcMar>
              <w:top w:w="80" w:type="dxa"/>
              <w:left w:w="80" w:type="dxa"/>
              <w:bottom w:w="80" w:type="dxa"/>
              <w:right w:w="80" w:type="dxa"/>
            </w:tcMar>
            <w:vAlign w:val="center"/>
          </w:tcPr>
          <w:p w14:paraId="7A5AC31E">
            <w:pPr>
              <w:keepNext w:val="0"/>
              <w:keepLines w:val="0"/>
              <w:pageBreakBefore w:val="0"/>
              <w:widowControl w:val="0"/>
              <w:tabs>
                <w:tab w:val="left" w:pos="420"/>
                <w:tab w:val="left" w:pos="840"/>
                <w:tab w:val="left" w:pos="126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kern w:val="2"/>
                <w:sz w:val="24"/>
                <w:szCs w:val="24"/>
                <w:lang w:val="en-US" w:eastAsia="zh-CN"/>
              </w:rPr>
            </w:pPr>
            <w:r>
              <w:rPr>
                <w:rFonts w:hint="eastAsia" w:ascii="方正仿宋_GBK" w:hAnsi="方正仿宋_GBK" w:eastAsia="方正仿宋_GBK" w:cs="方正仿宋_GBK"/>
                <w:color w:val="auto"/>
                <w:kern w:val="2"/>
                <w:sz w:val="24"/>
                <w:szCs w:val="24"/>
                <w:lang w:val="en-US" w:eastAsia="zh-CN"/>
              </w:rPr>
              <w:t>提供保密承诺书，加盖公章</w:t>
            </w:r>
          </w:p>
        </w:tc>
        <w:tc>
          <w:tcPr>
            <w:tcW w:w="805" w:type="dxa"/>
            <w:shd w:val="clear" w:color="auto" w:fill="auto"/>
            <w:noWrap w:val="0"/>
            <w:tcMar>
              <w:top w:w="80" w:type="dxa"/>
              <w:left w:w="80" w:type="dxa"/>
              <w:bottom w:w="80" w:type="dxa"/>
              <w:right w:w="80" w:type="dxa"/>
            </w:tcMar>
            <w:vAlign w:val="center"/>
          </w:tcPr>
          <w:p w14:paraId="7C09E81F">
            <w:pPr>
              <w:keepNext w:val="0"/>
              <w:keepLines w:val="0"/>
              <w:pageBreakBefore w:val="0"/>
              <w:widowControl w:val="0"/>
              <w:tabs>
                <w:tab w:val="left" w:pos="420"/>
                <w:tab w:val="left" w:pos="840"/>
                <w:tab w:val="left" w:pos="126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kern w:val="2"/>
                <w:sz w:val="24"/>
                <w:szCs w:val="24"/>
                <w:lang w:val="en-US" w:eastAsia="zh-CN"/>
              </w:rPr>
            </w:pPr>
            <w:r>
              <w:rPr>
                <w:rFonts w:hint="eastAsia" w:ascii="方正仿宋_GBK" w:hAnsi="方正仿宋_GBK" w:eastAsia="方正仿宋_GBK" w:cs="方正仿宋_GBK"/>
                <w:color w:val="auto"/>
                <w:kern w:val="2"/>
                <w:sz w:val="24"/>
                <w:szCs w:val="24"/>
                <w:lang w:val="en-US" w:eastAsia="zh-CN"/>
              </w:rPr>
              <w:t>5分</w:t>
            </w:r>
          </w:p>
        </w:tc>
      </w:tr>
      <w:tr w14:paraId="107F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6" w:hRule="atLeast"/>
          <w:jc w:val="center"/>
        </w:trPr>
        <w:tc>
          <w:tcPr>
            <w:tcW w:w="7431" w:type="dxa"/>
            <w:gridSpan w:val="4"/>
            <w:shd w:val="clear" w:color="auto" w:fill="auto"/>
            <w:noWrap w:val="0"/>
            <w:tcMar>
              <w:top w:w="80" w:type="dxa"/>
              <w:left w:w="80" w:type="dxa"/>
              <w:bottom w:w="80" w:type="dxa"/>
              <w:right w:w="80" w:type="dxa"/>
            </w:tcMar>
            <w:vAlign w:val="center"/>
          </w:tcPr>
          <w:p w14:paraId="7E3065C3">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kinsoku/>
              <w:wordWrap/>
              <w:overflowPunct/>
              <w:topLinePunct w:val="0"/>
              <w:autoSpaceDE/>
              <w:autoSpaceDN/>
              <w:bidi w:val="0"/>
              <w:adjustRightInd w:val="0"/>
              <w:snapToGrid w:val="0"/>
              <w:spacing w:before="0" w:line="240" w:lineRule="auto"/>
              <w:jc w:val="center"/>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合计</w:t>
            </w:r>
          </w:p>
        </w:tc>
        <w:tc>
          <w:tcPr>
            <w:tcW w:w="805" w:type="dxa"/>
            <w:shd w:val="clear" w:color="auto" w:fill="auto"/>
            <w:noWrap w:val="0"/>
            <w:tcMar>
              <w:top w:w="80" w:type="dxa"/>
              <w:left w:w="80" w:type="dxa"/>
              <w:bottom w:w="80" w:type="dxa"/>
              <w:right w:w="80" w:type="dxa"/>
            </w:tcMar>
            <w:vAlign w:val="center"/>
          </w:tcPr>
          <w:p w14:paraId="67F7D2C4">
            <w:pPr>
              <w:keepNext w:val="0"/>
              <w:keepLines w:val="0"/>
              <w:pageBreakBefore w:val="0"/>
              <w:widowControl w:val="0"/>
              <w:tabs>
                <w:tab w:val="left" w:pos="420"/>
              </w:tabs>
              <w:kinsoku/>
              <w:wordWrap/>
              <w:overflowPunct/>
              <w:topLinePunct w:val="0"/>
              <w:autoSpaceDE/>
              <w:autoSpaceDN/>
              <w:bidi w:val="0"/>
              <w:adjustRightInd w:val="0"/>
              <w:snapToGrid w:val="0"/>
              <w:spacing w:before="0" w:line="240" w:lineRule="auto"/>
              <w:jc w:val="center"/>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100分</w:t>
            </w:r>
          </w:p>
        </w:tc>
      </w:tr>
    </w:tbl>
    <w:p w14:paraId="71DA342B">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ascii="黑体" w:hAnsi="黑体" w:eastAsia="黑体" w:cs="仿宋"/>
          <w:color w:val="000000"/>
          <w:sz w:val="32"/>
          <w:szCs w:val="32"/>
        </w:rPr>
      </w:pPr>
      <w:r>
        <w:rPr>
          <w:rFonts w:hint="eastAsia" w:ascii="黑体" w:hAnsi="黑体" w:eastAsia="黑体" w:cs="仿宋"/>
          <w:color w:val="000000"/>
          <w:sz w:val="32"/>
          <w:szCs w:val="32"/>
        </w:rPr>
        <w:t>五、商务需求</w:t>
      </w:r>
    </w:p>
    <w:p w14:paraId="03EBF992">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ascii="仿宋_GB2312" w:hAnsi="仿宋" w:eastAsia="仿宋_GB2312" w:cs="仿宋"/>
          <w:color w:val="auto"/>
          <w:sz w:val="32"/>
          <w:szCs w:val="32"/>
        </w:rPr>
      </w:pPr>
      <w:r>
        <w:rPr>
          <w:rFonts w:hint="eastAsia" w:ascii="仿宋_GB2312" w:hAnsi="仿宋" w:eastAsia="仿宋_GB2312" w:cs="仿宋"/>
          <w:sz w:val="32"/>
          <w:szCs w:val="32"/>
        </w:rPr>
        <w:t>（一）服务期</w:t>
      </w:r>
      <w:r>
        <w:rPr>
          <w:rFonts w:hint="eastAsia" w:ascii="仿宋_GB2312" w:hAnsi="仿宋" w:eastAsia="仿宋_GB2312" w:cs="仿宋"/>
          <w:color w:val="auto"/>
          <w:sz w:val="32"/>
          <w:szCs w:val="32"/>
        </w:rPr>
        <w:t>：根据项目情况自行填写。</w:t>
      </w:r>
    </w:p>
    <w:p w14:paraId="5E5CDEED">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（二）服务地点：</w:t>
      </w:r>
      <w:r>
        <w:rPr>
          <w:rFonts w:hint="eastAsia" w:ascii="仿宋_GB2312" w:hAnsi="仿宋" w:eastAsia="仿宋_GB2312" w:cs="仿宋"/>
          <w:sz w:val="32"/>
          <w:szCs w:val="32"/>
          <w:lang w:eastAsia="zh-CN"/>
        </w:rPr>
        <w:t>深圳市</w:t>
      </w:r>
      <w:r>
        <w:rPr>
          <w:rFonts w:hint="eastAsia" w:ascii="仿宋_GB2312" w:hAnsi="仿宋" w:eastAsia="仿宋_GB2312" w:cs="仿宋"/>
          <w:sz w:val="32"/>
          <w:szCs w:val="32"/>
        </w:rPr>
        <w:t>。</w:t>
      </w:r>
    </w:p>
    <w:p w14:paraId="169F922C">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（三）报价要求：</w:t>
      </w:r>
    </w:p>
    <w:p w14:paraId="357C6B97">
      <w:pPr>
        <w:keepNext w:val="0"/>
        <w:keepLines w:val="0"/>
        <w:pageBreakBefore w:val="0"/>
        <w:kinsoku/>
        <w:wordWrap/>
        <w:overflowPunct/>
        <w:topLinePunct w:val="0"/>
        <w:autoSpaceDE/>
        <w:autoSpaceDN/>
        <w:bidi w:val="0"/>
        <w:spacing w:beforeLines="0" w:afterLines="0" w:line="550" w:lineRule="exact"/>
        <w:ind w:firstLine="624"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1.本项目预算金额：人民币</w:t>
      </w:r>
      <w:r>
        <w:rPr>
          <w:rFonts w:hint="eastAsia" w:ascii="仿宋_GB2312" w:hAnsi="仿宋" w:eastAsia="仿宋_GB2312" w:cs="仿宋"/>
          <w:sz w:val="32"/>
          <w:szCs w:val="32"/>
          <w:u w:val="single"/>
        </w:rPr>
        <w:t xml:space="preserve"> </w:t>
      </w:r>
      <w:r>
        <w:rPr>
          <w:rFonts w:hint="eastAsia" w:ascii="仿宋_GB2312" w:hAnsi="仿宋" w:cs="仿宋"/>
          <w:sz w:val="32"/>
          <w:szCs w:val="32"/>
          <w:u w:val="single"/>
          <w:lang w:val="en-US" w:eastAsia="zh-CN"/>
        </w:rPr>
        <w:t>15</w:t>
      </w:r>
      <w:r>
        <w:rPr>
          <w:rFonts w:hint="eastAsia" w:ascii="仿宋_GB2312" w:hAnsi="仿宋" w:eastAsia="仿宋_GB2312" w:cs="仿宋"/>
          <w:sz w:val="32"/>
          <w:szCs w:val="32"/>
          <w:u w:val="single"/>
          <w:lang w:val="en-US" w:eastAsia="zh-CN"/>
        </w:rPr>
        <w:t>0,000</w:t>
      </w:r>
      <w:r>
        <w:rPr>
          <w:rFonts w:hint="eastAsia" w:ascii="仿宋_GB2312" w:hAnsi="仿宋" w:eastAsia="仿宋_GB2312" w:cs="仿宋"/>
          <w:sz w:val="32"/>
          <w:szCs w:val="32"/>
        </w:rPr>
        <w:t>元，投标供应商的报价不得超过项目预算金额</w:t>
      </w:r>
      <w:r>
        <w:rPr>
          <w:rFonts w:hint="eastAsia" w:ascii="仿宋_GB2312" w:hAnsi="仿宋" w:cs="仿宋"/>
          <w:sz w:val="32"/>
          <w:szCs w:val="32"/>
          <w:lang w:eastAsia="zh-CN"/>
        </w:rPr>
        <w:t>（响应函模板见附件</w:t>
      </w:r>
      <w:r>
        <w:rPr>
          <w:rFonts w:hint="eastAsia" w:ascii="仿宋_GB2312" w:hAnsi="仿宋" w:cs="仿宋"/>
          <w:sz w:val="32"/>
          <w:szCs w:val="32"/>
          <w:lang w:val="en-US" w:eastAsia="zh-CN"/>
        </w:rPr>
        <w:t>1</w:t>
      </w:r>
      <w:r>
        <w:rPr>
          <w:rFonts w:hint="eastAsia" w:ascii="仿宋_GB2312" w:hAnsi="仿宋" w:cs="仿宋"/>
          <w:sz w:val="32"/>
          <w:szCs w:val="32"/>
          <w:lang w:eastAsia="zh-CN"/>
        </w:rPr>
        <w:t>）</w:t>
      </w:r>
      <w:r>
        <w:rPr>
          <w:rFonts w:hint="eastAsia" w:ascii="仿宋_GB2312" w:hAnsi="仿宋" w:eastAsia="仿宋_GB2312" w:cs="仿宋"/>
          <w:sz w:val="32"/>
          <w:szCs w:val="32"/>
        </w:rPr>
        <w:t>。</w:t>
      </w:r>
    </w:p>
    <w:p w14:paraId="198FAA37">
      <w:pPr>
        <w:keepNext w:val="0"/>
        <w:keepLines w:val="0"/>
        <w:pageBreakBefore w:val="0"/>
        <w:kinsoku/>
        <w:wordWrap/>
        <w:overflowPunct/>
        <w:topLinePunct w:val="0"/>
        <w:autoSpaceDE/>
        <w:autoSpaceDN/>
        <w:bidi w:val="0"/>
        <w:spacing w:beforeLines="0" w:afterLines="0" w:line="500" w:lineRule="exact"/>
        <w:ind w:firstLine="624"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本项目服务费采用包干制，应包括服务成本、法定税费和企业的利润。由投标供应商根据采购文件所提供的资料自行测算投标报价；一经中标，报价总价作为中标供应商与采购人签</w:t>
      </w:r>
      <w:r>
        <w:rPr>
          <w:rFonts w:hint="eastAsia" w:ascii="仿宋_GB2312" w:hAnsi="仿宋" w:eastAsia="仿宋_GB2312" w:cs="仿宋"/>
          <w:sz w:val="32"/>
          <w:szCs w:val="32"/>
          <w:lang w:eastAsia="zh-CN"/>
        </w:rPr>
        <w:t>订</w:t>
      </w:r>
      <w:r>
        <w:rPr>
          <w:rFonts w:hint="eastAsia" w:ascii="仿宋_GB2312" w:hAnsi="仿宋" w:eastAsia="仿宋_GB2312" w:cs="仿宋"/>
          <w:sz w:val="32"/>
          <w:szCs w:val="32"/>
        </w:rPr>
        <w:t>的合同金额，合同期限内不做调整。</w:t>
      </w:r>
    </w:p>
    <w:p w14:paraId="18792C1B">
      <w:pPr>
        <w:keepNext w:val="0"/>
        <w:keepLines w:val="0"/>
        <w:pageBreakBefore w:val="0"/>
        <w:kinsoku/>
        <w:wordWrap/>
        <w:overflowPunct/>
        <w:topLinePunct w:val="0"/>
        <w:autoSpaceDE/>
        <w:autoSpaceDN/>
        <w:bidi w:val="0"/>
        <w:spacing w:beforeLines="0" w:afterLines="0" w:line="500" w:lineRule="exact"/>
        <w:ind w:firstLine="624"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.投标供应商应当根据本企业的成本自行决定报价，但不得以低于其企业成本的报价投标。</w:t>
      </w:r>
    </w:p>
    <w:p w14:paraId="7EC041C3">
      <w:pPr>
        <w:keepNext w:val="0"/>
        <w:keepLines w:val="0"/>
        <w:pageBreakBefore w:val="0"/>
        <w:kinsoku/>
        <w:wordWrap/>
        <w:overflowPunct/>
        <w:topLinePunct w:val="0"/>
        <w:autoSpaceDE/>
        <w:autoSpaceDN/>
        <w:bidi w:val="0"/>
        <w:spacing w:beforeLines="0" w:afterLines="0" w:line="500" w:lineRule="exact"/>
        <w:ind w:firstLine="624"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4.投标供应商的报价，应当是本项目采购范围和采购文件及合同条款上所列的各项内容中所述的全部，不得以任何理由予以重复。</w:t>
      </w:r>
    </w:p>
    <w:p w14:paraId="16D93A51">
      <w:pPr>
        <w:keepNext w:val="0"/>
        <w:keepLines w:val="0"/>
        <w:pageBreakBefore w:val="0"/>
        <w:kinsoku/>
        <w:wordWrap/>
        <w:overflowPunct/>
        <w:topLinePunct w:val="0"/>
        <w:autoSpaceDE/>
        <w:autoSpaceDN/>
        <w:bidi w:val="0"/>
        <w:spacing w:beforeLines="0" w:afterLines="0" w:line="500" w:lineRule="exact"/>
        <w:ind w:firstLine="624"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4BD8A000">
      <w:pPr>
        <w:keepNext w:val="0"/>
        <w:keepLines w:val="0"/>
        <w:pageBreakBefore w:val="0"/>
        <w:kinsoku/>
        <w:wordWrap/>
        <w:overflowPunct/>
        <w:topLinePunct w:val="0"/>
        <w:autoSpaceDE/>
        <w:autoSpaceDN/>
        <w:bidi w:val="0"/>
        <w:spacing w:beforeLines="0" w:afterLines="0" w:line="540" w:lineRule="exact"/>
        <w:ind w:firstLine="624" w:firstLineChars="200"/>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6.投标供应商应先到项目地点踏勘以充分了解项目的位置、情况、道路及任何其它足以影响投标报价的情况，任何因忽视或误解项目情况而导致的索赔或服务期限延长申请将不获批准。</w:t>
      </w:r>
    </w:p>
    <w:p w14:paraId="5A1F2BBB">
      <w:pPr>
        <w:keepNext w:val="0"/>
        <w:keepLines w:val="0"/>
        <w:pageBreakBefore w:val="0"/>
        <w:kinsoku/>
        <w:wordWrap/>
        <w:overflowPunct/>
        <w:topLinePunct w:val="0"/>
        <w:autoSpaceDE/>
        <w:autoSpaceDN/>
        <w:bidi w:val="0"/>
        <w:spacing w:beforeLines="0" w:afterLines="0" w:line="500" w:lineRule="exact"/>
        <w:ind w:firstLine="624" w:firstLineChars="200"/>
        <w:textAlignment w:val="auto"/>
        <w:rPr>
          <w:rFonts w:hint="eastAsia" w:ascii="仿宋_GB2312" w:hAnsi="仿宋" w:eastAsia="仿宋_GB2312" w:cs="仿宋"/>
          <w:sz w:val="32"/>
          <w:szCs w:val="32"/>
        </w:rPr>
      </w:pPr>
      <w:r>
        <w:rPr>
          <w:rFonts w:hint="eastAsia" w:ascii="仿宋_GB2312" w:hAnsi="仿宋" w:eastAsia="仿宋_GB2312" w:cs="仿宋"/>
          <w:color w:val="auto"/>
          <w:sz w:val="32"/>
          <w:szCs w:val="32"/>
        </w:rPr>
        <w:t>7.投标供应商不得期望通过</w:t>
      </w:r>
      <w:r>
        <w:rPr>
          <w:rFonts w:hint="eastAsia" w:ascii="仿宋_GB2312" w:hAnsi="仿宋" w:eastAsia="仿宋_GB2312" w:cs="仿宋"/>
          <w:sz w:val="32"/>
          <w:szCs w:val="32"/>
        </w:rPr>
        <w:t>索赔等方式获取补偿，否则，除可能遭到拒绝外，还可能将被作为不良行为记录在案，并可能影响其以后参加政府采购的项目投标。各投标供应商在报价时，应充分考虑报价的风险。</w:t>
      </w:r>
    </w:p>
    <w:p w14:paraId="67C4B156">
      <w:pPr>
        <w:keepNext w:val="0"/>
        <w:keepLines w:val="0"/>
        <w:pageBreakBefore w:val="0"/>
        <w:kinsoku/>
        <w:wordWrap/>
        <w:overflowPunct/>
        <w:topLinePunct w:val="0"/>
        <w:autoSpaceDE/>
        <w:autoSpaceDN/>
        <w:bidi w:val="0"/>
        <w:spacing w:beforeLines="0" w:afterLines="0" w:line="500" w:lineRule="exact"/>
        <w:ind w:firstLine="624"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sz w:val="32"/>
          <w:szCs w:val="32"/>
        </w:rPr>
        <w:t>（四）付款方</w:t>
      </w:r>
      <w:r>
        <w:rPr>
          <w:rFonts w:hint="eastAsia" w:ascii="仿宋_GB2312" w:hAnsi="仿宋" w:eastAsia="仿宋_GB2312" w:cs="仿宋"/>
          <w:color w:val="auto"/>
          <w:sz w:val="32"/>
          <w:szCs w:val="32"/>
        </w:rPr>
        <w:t>式：（根据用户方提供情况制定）</w:t>
      </w:r>
    </w:p>
    <w:p w14:paraId="7F40AD69">
      <w:pPr>
        <w:keepNext w:val="0"/>
        <w:keepLines w:val="0"/>
        <w:pageBreakBefore w:val="0"/>
        <w:kinsoku/>
        <w:wordWrap/>
        <w:overflowPunct/>
        <w:topLinePunct w:val="0"/>
        <w:autoSpaceDE/>
        <w:autoSpaceDN/>
        <w:bidi w:val="0"/>
        <w:spacing w:beforeLines="0" w:afterLines="0" w:line="500" w:lineRule="exact"/>
        <w:ind w:firstLine="624" w:firstLineChars="200"/>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五</w:t>
      </w:r>
      <w:r>
        <w:rPr>
          <w:rFonts w:hint="eastAsia" w:ascii="仿宋_GB2312" w:hAnsi="仿宋" w:eastAsia="仿宋_GB2312" w:cs="仿宋"/>
          <w:color w:val="auto"/>
          <w:sz w:val="32"/>
          <w:szCs w:val="32"/>
        </w:rPr>
        <w:t>）违约责任：（根据用户方提供情况制定）</w:t>
      </w:r>
    </w:p>
    <w:p w14:paraId="0307C338">
      <w:pPr>
        <w:keepNext w:val="0"/>
        <w:keepLines w:val="0"/>
        <w:pageBreakBefore w:val="0"/>
        <w:kinsoku/>
        <w:wordWrap/>
        <w:overflowPunct/>
        <w:topLinePunct w:val="0"/>
        <w:autoSpaceDE/>
        <w:autoSpaceDN/>
        <w:bidi w:val="0"/>
        <w:spacing w:beforeLines="0" w:afterLines="0" w:line="500" w:lineRule="exact"/>
        <w:ind w:firstLine="624"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六</w:t>
      </w:r>
      <w:r>
        <w:rPr>
          <w:rFonts w:hint="eastAsia" w:ascii="仿宋_GB2312" w:hAnsi="仿宋" w:eastAsia="仿宋_GB2312" w:cs="仿宋"/>
          <w:color w:val="auto"/>
          <w:sz w:val="32"/>
          <w:szCs w:val="32"/>
        </w:rPr>
        <w:t>）其他：</w:t>
      </w:r>
      <w:r>
        <w:rPr>
          <w:rFonts w:hint="eastAsia" w:ascii="仿宋_GB2312" w:hAnsi="仿宋" w:cs="仿宋"/>
          <w:color w:val="auto"/>
          <w:sz w:val="32"/>
          <w:szCs w:val="32"/>
          <w:lang w:eastAsia="zh-CN"/>
        </w:rPr>
        <w:t>提交《</w:t>
      </w:r>
      <w:r>
        <w:rPr>
          <w:rFonts w:hint="eastAsia" w:ascii="仿宋_GB2312" w:hAnsi="仿宋" w:eastAsia="仿宋_GB2312" w:cs="仿宋"/>
          <w:color w:val="auto"/>
          <w:sz w:val="32"/>
          <w:szCs w:val="32"/>
        </w:rPr>
        <w:t>政府采购违法行为风险知悉确认书</w:t>
      </w:r>
      <w:r>
        <w:rPr>
          <w:rFonts w:hint="eastAsia" w:ascii="仿宋_GB2312" w:hAnsi="仿宋" w:cs="仿宋"/>
          <w:color w:val="auto"/>
          <w:sz w:val="32"/>
          <w:szCs w:val="32"/>
          <w:lang w:eastAsia="zh-CN"/>
        </w:rPr>
        <w:t>》（见</w:t>
      </w:r>
      <w:r>
        <w:rPr>
          <w:rFonts w:hint="eastAsia" w:ascii="仿宋_GB2312" w:hAnsi="仿宋" w:cs="仿宋"/>
          <w:sz w:val="32"/>
          <w:szCs w:val="32"/>
          <w:lang w:eastAsia="zh-CN"/>
        </w:rPr>
        <w:t>附件</w:t>
      </w:r>
      <w:r>
        <w:rPr>
          <w:rFonts w:hint="eastAsia" w:ascii="仿宋_GB2312" w:hAnsi="仿宋" w:cs="仿宋"/>
          <w:sz w:val="32"/>
          <w:szCs w:val="32"/>
          <w:lang w:val="en-US" w:eastAsia="zh-CN"/>
        </w:rPr>
        <w:t>2</w:t>
      </w:r>
      <w:r>
        <w:rPr>
          <w:rFonts w:hint="eastAsia" w:ascii="仿宋_GB2312" w:hAnsi="仿宋" w:cs="仿宋"/>
          <w:sz w:val="32"/>
          <w:szCs w:val="32"/>
          <w:lang w:eastAsia="zh-CN"/>
        </w:rPr>
        <w:t>）。</w:t>
      </w:r>
    </w:p>
    <w:p w14:paraId="1866B347">
      <w:pPr>
        <w:rPr>
          <w:rFonts w:hint="eastAsia" w:ascii="方正小标宋_GBK" w:hAnsi="方正小标宋_GBK" w:eastAsia="方正小标宋_GBK" w:cs="方正小标宋_GBK"/>
          <w:color w:val="000000"/>
          <w:spacing w:val="-10"/>
          <w:sz w:val="44"/>
          <w:szCs w:val="44"/>
          <w:lang w:eastAsia="zh-CN"/>
        </w:rPr>
      </w:pPr>
    </w:p>
    <w:p w14:paraId="497D1550">
      <w:pPr>
        <w:spacing w:line="480" w:lineRule="exact"/>
        <w:jc w:val="center"/>
        <w:rPr>
          <w:rFonts w:hint="eastAsia" w:ascii="方正小标宋_GBK" w:hAnsi="方正小标宋_GBK" w:eastAsia="方正小标宋_GBK" w:cs="方正小标宋_GBK"/>
          <w:color w:val="000000"/>
          <w:spacing w:val="-10"/>
          <w:sz w:val="44"/>
          <w:szCs w:val="44"/>
          <w:lang w:eastAsia="zh-CN"/>
        </w:rPr>
      </w:pPr>
    </w:p>
    <w:p w14:paraId="119C441D">
      <w:pPr>
        <w:rPr>
          <w:rFonts w:hint="eastAsia" w:ascii="方正小标宋_GBK" w:hAnsi="方正小标宋_GBK" w:eastAsia="方正小标宋_GBK" w:cs="方正小标宋_GBK"/>
          <w:color w:val="000000"/>
          <w:spacing w:val="-10"/>
          <w:sz w:val="44"/>
          <w:szCs w:val="44"/>
          <w:lang w:eastAsia="zh-CN"/>
        </w:rPr>
      </w:pPr>
      <w:r>
        <w:rPr>
          <w:rFonts w:hint="eastAsia" w:ascii="方正小标宋_GBK" w:hAnsi="方正小标宋_GBK" w:eastAsia="方正小标宋_GBK" w:cs="方正小标宋_GBK"/>
          <w:color w:val="000000"/>
          <w:spacing w:val="-10"/>
          <w:sz w:val="44"/>
          <w:szCs w:val="44"/>
          <w:lang w:eastAsia="zh-CN"/>
        </w:rPr>
        <w:br w:type="page"/>
      </w:r>
    </w:p>
    <w:p w14:paraId="71B0C016">
      <w:pPr>
        <w:pStyle w:val="4"/>
        <w:keepNext w:val="0"/>
        <w:keepLines w:val="0"/>
        <w:spacing w:before="0" w:beforeLines="0" w:after="0" w:afterLines="0" w:line="550" w:lineRule="exact"/>
        <w:rPr>
          <w:rFonts w:hint="default" w:ascii="黑体" w:hAnsi="黑体" w:eastAsia="黑体" w:cs="黑体"/>
          <w:b w:val="0"/>
          <w:bCs w:val="0"/>
          <w:lang w:val="en-US" w:eastAsia="zh-CN"/>
        </w:rPr>
      </w:pPr>
      <w:r>
        <w:rPr>
          <w:rFonts w:hint="eastAsia" w:ascii="黑体" w:hAnsi="黑体" w:eastAsia="黑体" w:cs="黑体"/>
          <w:b w:val="0"/>
          <w:bCs w:val="0"/>
          <w:lang w:eastAsia="zh-CN"/>
        </w:rPr>
        <w:t>附件</w:t>
      </w:r>
      <w:r>
        <w:rPr>
          <w:rFonts w:hint="eastAsia" w:ascii="黑体" w:hAnsi="黑体" w:eastAsia="黑体" w:cs="黑体"/>
          <w:b w:val="0"/>
          <w:bCs w:val="0"/>
          <w:lang w:val="en-US" w:eastAsia="zh-CN"/>
        </w:rPr>
        <w:t>1</w:t>
      </w:r>
    </w:p>
    <w:p w14:paraId="2F045EC7">
      <w:pPr>
        <w:spacing w:line="480" w:lineRule="exact"/>
        <w:jc w:val="center"/>
        <w:rPr>
          <w:rFonts w:hint="eastAsia" w:ascii="方正小标宋_GBK" w:hAnsi="方正小标宋_GBK" w:eastAsia="方正小标宋_GBK" w:cs="方正小标宋_GBK"/>
          <w:color w:val="000000"/>
          <w:spacing w:val="-10"/>
          <w:sz w:val="44"/>
          <w:szCs w:val="44"/>
        </w:rPr>
      </w:pPr>
      <w:r>
        <w:rPr>
          <w:rFonts w:hint="eastAsia" w:ascii="方正小标宋_GBK" w:hAnsi="方正小标宋_GBK" w:eastAsia="方正小标宋_GBK" w:cs="方正小标宋_GBK"/>
          <w:color w:val="000000"/>
          <w:spacing w:val="-10"/>
          <w:sz w:val="44"/>
          <w:szCs w:val="44"/>
          <w:lang w:eastAsia="zh-CN"/>
        </w:rPr>
        <w:t>响应（</w:t>
      </w:r>
      <w:r>
        <w:rPr>
          <w:rFonts w:hint="eastAsia" w:ascii="方正小标宋_GBK" w:hAnsi="方正小标宋_GBK" w:eastAsia="方正小标宋_GBK" w:cs="方正小标宋_GBK"/>
          <w:color w:val="000000"/>
          <w:spacing w:val="-10"/>
          <w:sz w:val="44"/>
          <w:szCs w:val="44"/>
        </w:rPr>
        <w:t>报价</w:t>
      </w:r>
      <w:r>
        <w:rPr>
          <w:rFonts w:hint="eastAsia" w:ascii="方正小标宋_GBK" w:hAnsi="方正小标宋_GBK" w:eastAsia="方正小标宋_GBK" w:cs="方正小标宋_GBK"/>
          <w:color w:val="000000"/>
          <w:spacing w:val="-10"/>
          <w:sz w:val="44"/>
          <w:szCs w:val="44"/>
          <w:lang w:eastAsia="zh-CN"/>
        </w:rPr>
        <w:t>）</w:t>
      </w:r>
      <w:r>
        <w:rPr>
          <w:rFonts w:hint="eastAsia" w:ascii="方正小标宋_GBK" w:hAnsi="方正小标宋_GBK" w:eastAsia="方正小标宋_GBK" w:cs="方正小标宋_GBK"/>
          <w:color w:val="000000"/>
          <w:spacing w:val="-10"/>
          <w:sz w:val="44"/>
          <w:szCs w:val="44"/>
        </w:rPr>
        <w:t>函</w:t>
      </w:r>
    </w:p>
    <w:p w14:paraId="0C704934">
      <w:pPr>
        <w:spacing w:line="480" w:lineRule="exact"/>
        <w:jc w:val="center"/>
        <w:rPr>
          <w:rFonts w:ascii="方正小标宋简体" w:hAnsi="宋体" w:eastAsia="方正小标宋简体" w:cs="宋体"/>
          <w:color w:val="000000"/>
          <w:spacing w:val="-10"/>
          <w:sz w:val="44"/>
          <w:szCs w:val="44"/>
        </w:rPr>
      </w:pPr>
    </w:p>
    <w:p w14:paraId="28A6C602">
      <w:pPr>
        <w:spacing w:line="4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深圳市</w:t>
      </w:r>
      <w:r>
        <w:rPr>
          <w:rFonts w:hint="eastAsia" w:ascii="仿宋_GB2312" w:hAnsi="宋体" w:eastAsia="仿宋_GB2312"/>
          <w:color w:val="000000"/>
          <w:sz w:val="32"/>
          <w:szCs w:val="32"/>
          <w:lang w:eastAsia="zh-CN"/>
        </w:rPr>
        <w:t>科技评审管理中心</w:t>
      </w:r>
      <w:r>
        <w:rPr>
          <w:rFonts w:hint="eastAsia" w:ascii="仿宋_GB2312" w:hAnsi="宋体" w:eastAsia="仿宋_GB2312"/>
          <w:color w:val="000000"/>
          <w:sz w:val="32"/>
          <w:szCs w:val="32"/>
        </w:rPr>
        <w:t>：</w:t>
      </w:r>
    </w:p>
    <w:p w14:paraId="2ACFBC05">
      <w:pPr>
        <w:spacing w:line="480" w:lineRule="exact"/>
        <w:ind w:firstLine="640"/>
        <w:jc w:val="left"/>
        <w:rPr>
          <w:rFonts w:ascii="仿宋_GB2312" w:hAnsi="宋体" w:eastAsia="仿宋_GB2312"/>
          <w:color w:val="000000"/>
          <w:sz w:val="32"/>
          <w:szCs w:val="32"/>
        </w:rPr>
      </w:pPr>
      <w:r>
        <w:rPr>
          <w:rFonts w:hint="eastAsia" w:ascii="仿宋_GB2312" w:hAnsi="宋体" w:eastAsia="仿宋_GB2312"/>
          <w:color w:val="000000"/>
          <w:sz w:val="32"/>
          <w:szCs w:val="32"/>
        </w:rPr>
        <w:t>《深圳市科技评审管理心PSZX2024-ZB003专项审计服务采购需求书》收悉。经研究，我</w:t>
      </w:r>
      <w:r>
        <w:rPr>
          <w:rFonts w:hint="eastAsia" w:ascii="仿宋_GB2312" w:hAnsi="宋体"/>
          <w:color w:val="000000"/>
          <w:sz w:val="32"/>
          <w:szCs w:val="32"/>
          <w:lang w:eastAsia="zh-CN"/>
        </w:rPr>
        <w:t>单位</w:t>
      </w:r>
      <w:r>
        <w:rPr>
          <w:rFonts w:hint="eastAsia" w:ascii="仿宋_GB2312" w:hAnsi="宋体" w:eastAsia="仿宋_GB2312"/>
          <w:color w:val="000000"/>
          <w:sz w:val="32"/>
          <w:szCs w:val="32"/>
          <w:lang w:eastAsia="zh-CN"/>
        </w:rPr>
        <w:t>投标报价</w:t>
      </w:r>
      <w:r>
        <w:rPr>
          <w:rFonts w:hint="eastAsia" w:ascii="仿宋_GB2312" w:hAnsi="宋体" w:eastAsia="仿宋_GB2312"/>
          <w:color w:val="000000"/>
          <w:sz w:val="32"/>
          <w:szCs w:val="32"/>
        </w:rPr>
        <w:t>情况如下：</w:t>
      </w:r>
    </w:p>
    <w:p w14:paraId="4460ABA1">
      <w:pPr>
        <w:spacing w:line="480" w:lineRule="exact"/>
        <w:ind w:firstLine="624" w:firstLineChars="200"/>
        <w:jc w:val="left"/>
        <w:rPr>
          <w:rFonts w:ascii="黑体" w:hAnsi="黑体" w:eastAsia="黑体"/>
          <w:color w:val="000000"/>
          <w:sz w:val="32"/>
          <w:szCs w:val="32"/>
        </w:rPr>
      </w:pPr>
      <w:r>
        <w:rPr>
          <w:rFonts w:hint="eastAsia" w:ascii="黑体" w:hAnsi="黑体" w:eastAsia="黑体"/>
          <w:color w:val="000000"/>
          <w:sz w:val="32"/>
          <w:szCs w:val="32"/>
        </w:rPr>
        <w:t>一、项目报价</w:t>
      </w:r>
    </w:p>
    <w:p w14:paraId="68FAF162">
      <w:pPr>
        <w:spacing w:line="480" w:lineRule="exact"/>
        <w:ind w:firstLine="630"/>
        <w:jc w:val="left"/>
        <w:rPr>
          <w:rFonts w:ascii="仿宋_GB2312" w:hAnsi="宋体" w:eastAsia="仿宋_GB2312"/>
          <w:color w:val="000000"/>
          <w:sz w:val="32"/>
          <w:szCs w:val="32"/>
        </w:rPr>
      </w:pPr>
      <w:r>
        <w:rPr>
          <w:rFonts w:hint="eastAsia" w:ascii="仿宋_GB2312" w:hAnsi="宋体" w:eastAsia="仿宋_GB2312"/>
          <w:color w:val="000000"/>
          <w:sz w:val="32"/>
          <w:szCs w:val="32"/>
        </w:rPr>
        <w:t>人民币</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万元（大写：</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万元）</w:t>
      </w:r>
    </w:p>
    <w:p w14:paraId="464A9E0B">
      <w:pPr>
        <w:spacing w:line="480" w:lineRule="exact"/>
        <w:ind w:firstLine="630"/>
        <w:jc w:val="left"/>
        <w:rPr>
          <w:rFonts w:ascii="仿宋_GB2312" w:hAnsi="宋体" w:eastAsia="仿宋_GB2312"/>
          <w:color w:val="000000"/>
          <w:sz w:val="30"/>
          <w:szCs w:val="30"/>
        </w:rPr>
      </w:pPr>
      <w:r>
        <w:rPr>
          <w:rFonts w:hint="eastAsia" w:ascii="仿宋_GB2312" w:hAnsi="宋体" w:eastAsia="仿宋_GB2312"/>
          <w:color w:val="000000"/>
          <w:sz w:val="30"/>
          <w:szCs w:val="30"/>
        </w:rPr>
        <w:t>（大小写不一致的以大写为准；</w:t>
      </w:r>
      <w:r>
        <w:rPr>
          <w:rFonts w:hint="eastAsia" w:ascii="仿宋_GB2312" w:hAnsi="宋体" w:eastAsia="仿宋_GB2312"/>
          <w:b/>
          <w:color w:val="000000"/>
          <w:sz w:val="30"/>
          <w:szCs w:val="30"/>
        </w:rPr>
        <w:t>报价超过</w:t>
      </w:r>
      <w:r>
        <w:rPr>
          <w:rFonts w:hint="eastAsia" w:ascii="仿宋_GB2312" w:hAnsi="宋体"/>
          <w:b/>
          <w:color w:val="000000"/>
          <w:sz w:val="30"/>
          <w:szCs w:val="30"/>
          <w:lang w:val="en-US" w:eastAsia="zh-CN"/>
        </w:rPr>
        <w:t>15</w:t>
      </w:r>
      <w:r>
        <w:rPr>
          <w:rFonts w:hint="eastAsia" w:ascii="仿宋_GB2312" w:hAnsi="宋体" w:eastAsia="仿宋_GB2312"/>
          <w:b/>
          <w:color w:val="000000"/>
          <w:sz w:val="30"/>
          <w:szCs w:val="30"/>
        </w:rPr>
        <w:t>万元的，报价函无效</w:t>
      </w:r>
      <w:r>
        <w:rPr>
          <w:rFonts w:hint="eastAsia" w:ascii="仿宋_GB2312" w:hAnsi="宋体" w:eastAsia="仿宋_GB2312"/>
          <w:color w:val="000000"/>
          <w:sz w:val="30"/>
          <w:szCs w:val="30"/>
        </w:rPr>
        <w:t>）。</w:t>
      </w:r>
    </w:p>
    <w:p w14:paraId="2C57A737">
      <w:pPr>
        <w:spacing w:line="480" w:lineRule="exact"/>
        <w:ind w:firstLine="624" w:firstLineChars="200"/>
        <w:jc w:val="left"/>
        <w:rPr>
          <w:rFonts w:ascii="黑体" w:hAnsi="黑体" w:eastAsia="黑体"/>
          <w:color w:val="000000"/>
          <w:sz w:val="32"/>
          <w:szCs w:val="32"/>
        </w:rPr>
      </w:pPr>
      <w:r>
        <w:rPr>
          <w:rFonts w:hint="eastAsia" w:ascii="黑体" w:hAnsi="黑体" w:eastAsia="黑体"/>
          <w:color w:val="000000"/>
          <w:sz w:val="32"/>
          <w:szCs w:val="32"/>
        </w:rPr>
        <w:t>二、资格证明</w:t>
      </w:r>
    </w:p>
    <w:p w14:paraId="1D6EDD43">
      <w:pPr>
        <w:spacing w:line="480" w:lineRule="exact"/>
        <w:ind w:firstLine="630"/>
        <w:jc w:val="left"/>
        <w:rPr>
          <w:rFonts w:ascii="仿宋_GB2312" w:hAnsi="宋体" w:eastAsia="仿宋_GB2312"/>
          <w:color w:val="000000"/>
          <w:sz w:val="30"/>
          <w:szCs w:val="30"/>
        </w:rPr>
      </w:pPr>
      <w:r>
        <w:rPr>
          <w:rFonts w:hint="eastAsia" w:ascii="仿宋_GB2312" w:hAnsi="宋体" w:eastAsia="仿宋_GB2312"/>
          <w:color w:val="000000"/>
          <w:sz w:val="30"/>
          <w:szCs w:val="30"/>
        </w:rPr>
        <w:t>（格式自拟，按照《</w:t>
      </w:r>
      <w:r>
        <w:rPr>
          <w:rFonts w:hint="eastAsia" w:ascii="仿宋_GB2312" w:hAnsi="宋体"/>
          <w:color w:val="000000"/>
          <w:sz w:val="30"/>
          <w:szCs w:val="30"/>
          <w:lang w:eastAsia="zh-CN"/>
        </w:rPr>
        <w:t>专项审计</w:t>
      </w:r>
      <w:r>
        <w:rPr>
          <w:rFonts w:hint="eastAsia" w:ascii="仿宋_GB2312" w:hAnsi="宋体" w:eastAsia="仿宋_GB2312"/>
          <w:color w:val="000000"/>
          <w:sz w:val="32"/>
          <w:szCs w:val="32"/>
        </w:rPr>
        <w:t>服务采购需求书</w:t>
      </w:r>
      <w:r>
        <w:rPr>
          <w:rFonts w:hint="eastAsia" w:ascii="仿宋_GB2312" w:hAnsi="宋体" w:eastAsia="仿宋_GB2312"/>
          <w:color w:val="000000"/>
          <w:sz w:val="30"/>
          <w:szCs w:val="30"/>
        </w:rPr>
        <w:t>》中“供应商资格</w:t>
      </w:r>
      <w:r>
        <w:rPr>
          <w:rFonts w:hint="eastAsia" w:ascii="仿宋_GB2312" w:hAnsi="宋体"/>
          <w:color w:val="000000"/>
          <w:sz w:val="30"/>
          <w:szCs w:val="30"/>
          <w:lang w:eastAsia="zh-CN"/>
        </w:rPr>
        <w:t>要求</w:t>
      </w:r>
      <w:r>
        <w:rPr>
          <w:rFonts w:hint="eastAsia" w:ascii="仿宋_GB2312" w:hAnsi="宋体" w:eastAsia="仿宋_GB2312"/>
          <w:color w:val="000000"/>
          <w:sz w:val="30"/>
          <w:szCs w:val="30"/>
        </w:rPr>
        <w:t>”提交相应的证明文件)</w:t>
      </w:r>
    </w:p>
    <w:p w14:paraId="2E3CF614">
      <w:pPr>
        <w:spacing w:line="480" w:lineRule="exact"/>
        <w:ind w:firstLine="624" w:firstLineChars="200"/>
        <w:jc w:val="left"/>
        <w:rPr>
          <w:rFonts w:ascii="黑体" w:hAnsi="黑体" w:eastAsia="黑体"/>
          <w:color w:val="000000"/>
          <w:sz w:val="32"/>
          <w:szCs w:val="32"/>
        </w:rPr>
      </w:pPr>
      <w:r>
        <w:rPr>
          <w:rFonts w:hint="eastAsia" w:ascii="黑体" w:hAnsi="黑体" w:eastAsia="黑体"/>
          <w:color w:val="000000"/>
          <w:sz w:val="32"/>
          <w:szCs w:val="32"/>
        </w:rPr>
        <w:t>三、响应情况</w:t>
      </w:r>
    </w:p>
    <w:p w14:paraId="7F3A221E">
      <w:pPr>
        <w:spacing w:line="480" w:lineRule="exact"/>
        <w:ind w:firstLine="63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（格式自拟，按照《</w:t>
      </w:r>
      <w:r>
        <w:rPr>
          <w:rFonts w:hint="eastAsia" w:ascii="仿宋_GB2312" w:hAnsi="宋体"/>
          <w:color w:val="000000" w:themeColor="text1"/>
          <w:sz w:val="30"/>
          <w:szCs w:val="30"/>
          <w:lang w:eastAsia="zh-CN"/>
          <w14:textFill>
            <w14:solidFill>
              <w14:schemeClr w14:val="tx1"/>
            </w14:solidFill>
          </w14:textFill>
        </w:rPr>
        <w:t>专项审计</w:t>
      </w:r>
      <w:r>
        <w:rPr>
          <w:rFonts w:hint="eastAsia" w:ascii="仿宋_GB2312" w:hAnsi="宋体" w:eastAsia="仿宋_GB2312"/>
          <w:color w:val="000000" w:themeColor="text1"/>
          <w:sz w:val="32"/>
          <w:szCs w:val="32"/>
          <w14:textFill>
            <w14:solidFill>
              <w14:schemeClr w14:val="tx1"/>
            </w14:solidFill>
          </w14:textFill>
        </w:rPr>
        <w:t>服务采购需求书</w:t>
      </w:r>
      <w:r>
        <w:rPr>
          <w:rFonts w:hint="eastAsia" w:ascii="仿宋_GB2312" w:hAnsi="宋体" w:eastAsia="仿宋_GB2312"/>
          <w:color w:val="000000" w:themeColor="text1"/>
          <w:sz w:val="30"/>
          <w:szCs w:val="30"/>
          <w14:textFill>
            <w14:solidFill>
              <w14:schemeClr w14:val="tx1"/>
            </w14:solidFill>
          </w14:textFill>
        </w:rPr>
        <w:t>》中的“</w:t>
      </w:r>
      <w:r>
        <w:rPr>
          <w:rFonts w:hint="eastAsia" w:ascii="仿宋_GB2312" w:hAnsi="宋体"/>
          <w:color w:val="000000" w:themeColor="text1"/>
          <w:sz w:val="30"/>
          <w:szCs w:val="30"/>
          <w:lang w:eastAsia="zh-CN"/>
          <w14:textFill>
            <w14:solidFill>
              <w14:schemeClr w14:val="tx1"/>
            </w14:solidFill>
          </w14:textFill>
        </w:rPr>
        <w:t>服务</w:t>
      </w:r>
      <w:r>
        <w:rPr>
          <w:rFonts w:hint="eastAsia" w:ascii="仿宋_GB2312" w:hAnsi="宋体" w:eastAsia="仿宋_GB2312"/>
          <w:color w:val="000000" w:themeColor="text1"/>
          <w:sz w:val="30"/>
          <w:szCs w:val="30"/>
          <w14:textFill>
            <w14:solidFill>
              <w14:schemeClr w14:val="tx1"/>
            </w14:solidFill>
          </w14:textFill>
        </w:rPr>
        <w:t>要求”和“评审标准”作出响应）。</w:t>
      </w:r>
    </w:p>
    <w:p w14:paraId="72B3DF02">
      <w:pPr>
        <w:spacing w:line="480" w:lineRule="exact"/>
        <w:ind w:firstLine="624" w:firstLineChars="200"/>
        <w:jc w:val="left"/>
        <w:rPr>
          <w:rFonts w:ascii="黑体" w:hAnsi="黑体" w:eastAsia="黑体"/>
          <w:sz w:val="32"/>
          <w:szCs w:val="32"/>
        </w:rPr>
      </w:pPr>
      <w:r>
        <w:rPr>
          <w:rFonts w:hint="eastAsia" w:ascii="黑体" w:hAnsi="黑体" w:eastAsia="黑体"/>
          <w:sz w:val="32"/>
          <w:szCs w:val="32"/>
        </w:rPr>
        <w:t>四、投标代理人及联系方式</w:t>
      </w:r>
    </w:p>
    <w:p w14:paraId="2EE15582">
      <w:pPr>
        <w:spacing w:line="480" w:lineRule="exact"/>
        <w:ind w:firstLine="600"/>
        <w:jc w:val="left"/>
        <w:rPr>
          <w:rFonts w:ascii="仿宋_GB2312" w:hAnsi="宋体" w:eastAsia="仿宋_GB2312"/>
          <w:sz w:val="30"/>
          <w:szCs w:val="30"/>
        </w:rPr>
      </w:pPr>
      <w:r>
        <w:rPr>
          <w:rFonts w:hint="eastAsia" w:ascii="仿宋_GB2312" w:hAnsi="宋体" w:eastAsia="仿宋_GB2312"/>
          <w:sz w:val="30"/>
          <w:szCs w:val="30"/>
        </w:rPr>
        <w:t>1.我</w:t>
      </w:r>
      <w:r>
        <w:rPr>
          <w:rFonts w:hint="eastAsia" w:ascii="仿宋_GB2312" w:hAnsi="宋体"/>
          <w:color w:val="000000"/>
          <w:sz w:val="32"/>
          <w:szCs w:val="32"/>
          <w:lang w:eastAsia="zh-CN"/>
        </w:rPr>
        <w:t>单位</w:t>
      </w:r>
      <w:r>
        <w:rPr>
          <w:rFonts w:hint="eastAsia" w:ascii="仿宋_GB2312" w:hAnsi="宋体" w:eastAsia="仿宋_GB2312"/>
          <w:sz w:val="30"/>
          <w:szCs w:val="30"/>
        </w:rPr>
        <w:t>委托</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为本项目的投标代理人，其代理权限为特别授权，包括但不限于：提交</w:t>
      </w:r>
      <w:r>
        <w:rPr>
          <w:rFonts w:hint="eastAsia" w:ascii="仿宋_GB2312" w:hAnsi="宋体" w:eastAsia="仿宋_GB2312"/>
          <w:sz w:val="30"/>
          <w:szCs w:val="30"/>
          <w:lang w:eastAsia="zh-CN"/>
        </w:rPr>
        <w:t>投标</w:t>
      </w:r>
      <w:r>
        <w:rPr>
          <w:rFonts w:hint="eastAsia" w:ascii="仿宋_GB2312" w:hAnsi="宋体" w:eastAsia="仿宋_GB2312"/>
          <w:sz w:val="30"/>
          <w:szCs w:val="30"/>
        </w:rPr>
        <w:t>报价函、对</w:t>
      </w:r>
      <w:r>
        <w:rPr>
          <w:rFonts w:hint="eastAsia" w:ascii="仿宋_GB2312" w:hAnsi="宋体" w:eastAsia="仿宋_GB2312"/>
          <w:sz w:val="30"/>
          <w:szCs w:val="30"/>
          <w:lang w:eastAsia="zh-CN"/>
        </w:rPr>
        <w:t>投标</w:t>
      </w:r>
      <w:r>
        <w:rPr>
          <w:rFonts w:hint="eastAsia" w:ascii="仿宋_GB2312" w:hAnsi="宋体" w:eastAsia="仿宋_GB2312"/>
          <w:sz w:val="30"/>
          <w:szCs w:val="30"/>
        </w:rPr>
        <w:t>报价函内容进行解释和说明，其所签署的书面材料我所均予承认和认可。</w:t>
      </w:r>
    </w:p>
    <w:p w14:paraId="3A383A88">
      <w:pPr>
        <w:spacing w:line="480" w:lineRule="exact"/>
        <w:ind w:firstLine="600"/>
        <w:jc w:val="left"/>
        <w:rPr>
          <w:rFonts w:ascii="仿宋_GB2312" w:hAnsi="宋体" w:eastAsia="仿宋_GB2312"/>
          <w:sz w:val="30"/>
          <w:szCs w:val="30"/>
        </w:rPr>
      </w:pPr>
      <w:r>
        <w:rPr>
          <w:rFonts w:hint="eastAsia" w:ascii="仿宋_GB2312" w:hAnsi="宋体" w:eastAsia="仿宋_GB2312"/>
          <w:sz w:val="30"/>
          <w:szCs w:val="30"/>
        </w:rPr>
        <w:t>2.代理人的联系方式：</w:t>
      </w:r>
      <w:r>
        <w:rPr>
          <w:rFonts w:hint="eastAsia" w:ascii="仿宋_GB2312" w:hAnsi="宋体" w:eastAsia="仿宋_GB2312"/>
          <w:sz w:val="30"/>
          <w:szCs w:val="30"/>
          <w:u w:val="single"/>
        </w:rPr>
        <w:t xml:space="preserve">            </w:t>
      </w:r>
      <w:r>
        <w:rPr>
          <w:rFonts w:hint="eastAsia" w:ascii="仿宋_GB2312" w:hAnsi="宋体" w:eastAsia="仿宋_GB2312"/>
          <w:sz w:val="30"/>
          <w:szCs w:val="30"/>
        </w:rPr>
        <w:t>（提供手机号码）。</w:t>
      </w:r>
    </w:p>
    <w:p w14:paraId="759FDB55">
      <w:pPr>
        <w:spacing w:line="480" w:lineRule="exact"/>
        <w:ind w:right="320" w:firstLine="624" w:firstLineChars="200"/>
        <w:jc w:val="right"/>
        <w:rPr>
          <w:rFonts w:ascii="仿宋_GB2312" w:hAnsi="宋体" w:eastAsia="仿宋_GB2312"/>
          <w:color w:val="000000"/>
          <w:sz w:val="32"/>
          <w:szCs w:val="32"/>
          <w:u w:val="single"/>
        </w:rPr>
      </w:pPr>
    </w:p>
    <w:p w14:paraId="15E8C813">
      <w:pPr>
        <w:pStyle w:val="2"/>
        <w:rPr>
          <w:rFonts w:ascii="仿宋_GB2312" w:hAnsi="宋体" w:eastAsia="仿宋_GB2312"/>
          <w:color w:val="000000"/>
          <w:sz w:val="32"/>
          <w:szCs w:val="32"/>
          <w:u w:val="single"/>
        </w:rPr>
      </w:pPr>
    </w:p>
    <w:p w14:paraId="0DC0C4BE"/>
    <w:p w14:paraId="03430574">
      <w:pPr>
        <w:spacing w:line="480" w:lineRule="exact"/>
        <w:ind w:right="320" w:firstLine="624" w:firstLineChars="200"/>
        <w:jc w:val="righ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lang w:eastAsia="zh-CN"/>
        </w:rPr>
        <w:t>事务所</w:t>
      </w:r>
    </w:p>
    <w:p w14:paraId="5F4CC5B2">
      <w:pPr>
        <w:spacing w:line="480" w:lineRule="exact"/>
        <w:ind w:firstLine="624" w:firstLineChars="200"/>
        <w:jc w:val="left"/>
        <w:rPr>
          <w:rFonts w:hint="eastAsia" w:ascii="黑体" w:hAnsi="黑体" w:eastAsia="黑体"/>
          <w:color w:val="000000"/>
          <w:sz w:val="32"/>
          <w:szCs w:val="32"/>
        </w:rPr>
      </w:pP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 xml:space="preserve">   </w:t>
      </w:r>
      <w:r>
        <w:rPr>
          <w:rFonts w:hint="eastAsia" w:ascii="仿宋_GB2312" w:hAnsi="宋体"/>
          <w:color w:val="000000"/>
          <w:sz w:val="32"/>
          <w:szCs w:val="32"/>
          <w:lang w:val="en-US" w:eastAsia="zh-CN"/>
        </w:rPr>
        <w:t xml:space="preserve">      </w:t>
      </w:r>
      <w:r>
        <w:rPr>
          <w:rFonts w:hint="eastAsia" w:ascii="仿宋_GB2312" w:hAnsi="宋体" w:eastAsia="仿宋_GB2312"/>
          <w:color w:val="000000"/>
          <w:sz w:val="32"/>
          <w:szCs w:val="32"/>
        </w:rPr>
        <w:t>年 月  日</w:t>
      </w:r>
      <w:r>
        <w:rPr>
          <w:rFonts w:hint="eastAsia" w:ascii="黑体" w:hAnsi="黑体" w:eastAsia="黑体"/>
          <w:color w:val="000000"/>
          <w:sz w:val="32"/>
          <w:szCs w:val="32"/>
        </w:rPr>
        <w:t xml:space="preserve"> </w:t>
      </w:r>
    </w:p>
    <w:p w14:paraId="551CD115">
      <w:pPr>
        <w:pStyle w:val="4"/>
        <w:keepNext w:val="0"/>
        <w:keepLines w:val="0"/>
        <w:spacing w:before="0" w:beforeLines="0" w:after="0" w:afterLines="0" w:line="550" w:lineRule="exact"/>
        <w:rPr>
          <w:rFonts w:hint="eastAsia" w:ascii="黑体" w:hAnsi="黑体" w:eastAsia="黑体"/>
          <w:color w:val="000000"/>
          <w:sz w:val="32"/>
          <w:szCs w:val="32"/>
        </w:rPr>
      </w:pPr>
      <w:r>
        <w:rPr>
          <w:rFonts w:hint="eastAsia" w:ascii="黑体" w:hAnsi="黑体" w:eastAsia="黑体" w:cs="黑体"/>
          <w:b w:val="0"/>
          <w:bCs w:val="0"/>
          <w:lang w:eastAsia="zh-CN"/>
        </w:rPr>
        <w:t>附件</w:t>
      </w:r>
      <w:r>
        <w:rPr>
          <w:rFonts w:hint="eastAsia" w:ascii="黑体" w:hAnsi="黑体" w:eastAsia="黑体" w:cs="黑体"/>
          <w:b w:val="0"/>
          <w:bCs w:val="0"/>
          <w:lang w:val="en-US" w:eastAsia="zh-CN"/>
        </w:rPr>
        <w:t>2</w:t>
      </w:r>
    </w:p>
    <w:p w14:paraId="1F4299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政府采购违法行为风险知悉确认书</w:t>
      </w:r>
    </w:p>
    <w:p w14:paraId="0DAC19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7FBDCC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本公司在投标前已充分知悉以下情形为参与政府采购活动时的重大风险事项，并承诺已对下述风险提示事项重点排查，做到严谨、诚信、依法依规参与政府采购活动。</w:t>
      </w:r>
    </w:p>
    <w:p w14:paraId="4034CA1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一、本公司已充分知悉“隐瞒真实情况，提供虚假资料”的法定情形，相关情形包括但不限于：</w:t>
      </w:r>
    </w:p>
    <w:p w14:paraId="5BE032A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（一）通过转让或者租借等方式从其他单位获取资格或者资质证书投标的。</w:t>
      </w:r>
    </w:p>
    <w:p w14:paraId="212DED84">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（二）由其他单位或者其他单位负责人在投标供应商编制的投标文件上加盖印章或者签字的。</w:t>
      </w:r>
    </w:p>
    <w:p w14:paraId="061BFA73">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（三）项目负责人或者主要技术人员不是本单位人员的。</w:t>
      </w:r>
    </w:p>
    <w:p w14:paraId="642A7B4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（四）投标保证金不是从投标供应商基本账户转出的。</w:t>
      </w:r>
    </w:p>
    <w:p w14:paraId="2DA18D7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（五）其他隐瞒真实情况、提供虚假资料的行为。</w:t>
      </w:r>
    </w:p>
    <w:p w14:paraId="33EC1F35">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二、本公司已充分知悉“与其他采购参加人串通投标”的法定情形，相关情形包括但不限于：</w:t>
      </w:r>
    </w:p>
    <w:p w14:paraId="2E13D94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（一）投标供应商之间相互约定给予未中标的供应商利益补偿。</w:t>
      </w:r>
    </w:p>
    <w:p w14:paraId="76F3C8F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（二）不同投标供应商的法定代表人、主要经营负责人、项目投标授权代表人、项目负责人、主要技术人员为同一人、属同一单位或者在同一单位缴纳社会保险。</w:t>
      </w:r>
    </w:p>
    <w:p w14:paraId="0DFF8C7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（三）不同投标供应商的投标文件由同一单位或者同一人编制，或者由同一人分阶段参与编制的。</w:t>
      </w:r>
    </w:p>
    <w:p w14:paraId="62CC4FC6">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（四）不同投标供应商的投标文件或部分投标文件相互混装。</w:t>
      </w:r>
    </w:p>
    <w:p w14:paraId="08034C83">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（五）不同投标供应商的投标文件内容存在非正常一致。</w:t>
      </w:r>
    </w:p>
    <w:p w14:paraId="2876EED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（六）由同一单位工作人员为两家以上（含两家）供应商进行同一项投标活动的。</w:t>
      </w:r>
    </w:p>
    <w:p w14:paraId="67A8908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（七）不同投标人的投标报价呈规律性差异。</w:t>
      </w:r>
    </w:p>
    <w:p w14:paraId="48634375">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（八）不同投标人的投标保证金从同一单位或者个人的账户转出。</w:t>
      </w:r>
    </w:p>
    <w:p w14:paraId="25934DD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（九）主管部门依照法律、法规认定的其他情形。</w:t>
      </w:r>
    </w:p>
    <w:p w14:paraId="09106D7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三、本公司已充分知悉下列情形所对应的法律风险，并在投标前已对相关风险事项进行排查。</w:t>
      </w:r>
    </w:p>
    <w:p w14:paraId="48D63CE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（一）对于从其他主体获取的投标资料，供应商应审慎核查， 确保投标资料的真实性。</w:t>
      </w:r>
      <w:r>
        <w:rPr>
          <w:rFonts w:hint="eastAsia" w:ascii="仿宋_GB2312" w:hAnsi="仿宋_GB2312" w:eastAsia="仿宋_GB2312" w:cs="仿宋_GB2312"/>
          <w:b/>
          <w:bCs/>
          <w:sz w:val="32"/>
          <w:szCs w:val="32"/>
        </w:rPr>
        <w:t>如主管部门查实投标文件中存在虚假资料的，无论相关资料是否由第三方或本公司员工提供，均不影响主管部门对供应商存在“隐瞒真实情况，提供虚假资料”违法行为的认定。</w:t>
      </w:r>
    </w:p>
    <w:p w14:paraId="301A209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7B289856">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（三）对于涉及安全生产、特种作业、抢险救灾、防疫等政府采购项目，供应商实施提供虚假资料、串通投标等违法行为的，主管部门将依法从严处理。</w:t>
      </w:r>
    </w:p>
    <w:p w14:paraId="4BBE637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1FFFDBD9">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1225BC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6C41E87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四、本公司已充分知悉政府采购违法、违规行为的法律后果。</w:t>
      </w:r>
      <w:r>
        <w:rPr>
          <w:rFonts w:hint="eastAsia" w:ascii="仿宋_GB2312" w:hAnsi="仿宋_GB2312" w:eastAsia="仿宋_GB2312" w:cs="仿宋_GB2312"/>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C2FCE5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以下文字请投标供应商抄写并确认：“本公司已仔细阅读《政府采购违法行为风险知悉确认书》，充分知悉违法行为的法律后果，并承诺将严谨、诚信、依法依规参与政府采购活动”。</w:t>
      </w:r>
    </w:p>
    <w:p w14:paraId="28A2DE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1A008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14:paraId="19CA0FF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14:paraId="2E377A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p>
    <w:p w14:paraId="2633C5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p>
    <w:p w14:paraId="7D52FB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p>
    <w:p w14:paraId="62665A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2A514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A75BAD7">
      <w:pPr>
        <w:keepNext w:val="0"/>
        <w:keepLines w:val="0"/>
        <w:pageBreakBefore w:val="0"/>
        <w:widowControl w:val="0"/>
        <w:kinsoku/>
        <w:wordWrap/>
        <w:overflowPunct/>
        <w:topLinePunct w:val="0"/>
        <w:autoSpaceDE/>
        <w:autoSpaceDN/>
        <w:bidi w:val="0"/>
        <w:adjustRightInd/>
        <w:snapToGrid/>
        <w:spacing w:line="560" w:lineRule="exact"/>
        <w:ind w:firstLine="3432"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负责人/投标授权代表签名： </w:t>
      </w:r>
    </w:p>
    <w:p w14:paraId="75B656B0">
      <w:pPr>
        <w:keepNext w:val="0"/>
        <w:keepLines w:val="0"/>
        <w:pageBreakBefore w:val="0"/>
        <w:widowControl w:val="0"/>
        <w:kinsoku/>
        <w:wordWrap/>
        <w:overflowPunct/>
        <w:topLinePunct w:val="0"/>
        <w:autoSpaceDE/>
        <w:autoSpaceDN/>
        <w:bidi w:val="0"/>
        <w:adjustRightInd/>
        <w:snapToGrid/>
        <w:spacing w:line="560" w:lineRule="exact"/>
        <w:ind w:firstLine="3432"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知悉人（公章）：</w:t>
      </w:r>
    </w:p>
    <w:p w14:paraId="610341E3">
      <w:pPr>
        <w:keepNext w:val="0"/>
        <w:keepLines w:val="0"/>
        <w:pageBreakBefore w:val="0"/>
        <w:widowControl w:val="0"/>
        <w:kinsoku/>
        <w:wordWrap/>
        <w:overflowPunct/>
        <w:topLinePunct w:val="0"/>
        <w:autoSpaceDE/>
        <w:autoSpaceDN/>
        <w:bidi w:val="0"/>
        <w:adjustRightInd/>
        <w:snapToGrid/>
        <w:spacing w:line="560" w:lineRule="exact"/>
        <w:ind w:firstLine="3432"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5E10CB27">
      <w:pPr>
        <w:spacing w:line="480" w:lineRule="exact"/>
        <w:ind w:firstLine="624" w:firstLineChars="200"/>
        <w:jc w:val="left"/>
        <w:rPr>
          <w:rFonts w:hint="eastAsia" w:ascii="黑体" w:hAnsi="黑体" w:eastAsia="黑体"/>
          <w:color w:val="000000"/>
          <w:sz w:val="32"/>
          <w:szCs w:val="32"/>
        </w:rPr>
      </w:pPr>
      <w:r>
        <w:rPr>
          <w:rFonts w:hint="eastAsia" w:ascii="黑体" w:hAnsi="黑体" w:eastAsia="黑体"/>
          <w:color w:val="000000"/>
          <w:sz w:val="32"/>
          <w:szCs w:val="32"/>
        </w:rPr>
        <w:t xml:space="preserve">       </w:t>
      </w:r>
    </w:p>
    <w:p w14:paraId="269A2F73">
      <w:pPr>
        <w:pStyle w:val="17"/>
        <w:ind w:left="0" w:leftChars="0" w:firstLine="0" w:firstLineChars="0"/>
      </w:pPr>
    </w:p>
    <w:p w14:paraId="17A1D469"/>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cols w:space="720" w:num="1"/>
      <w:titlePg/>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97F7">
    <w:pPr>
      <w:pStyle w:val="7"/>
      <w:ind w:right="28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177B9E">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2177B9E">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78C95">
    <w:pPr>
      <w:pStyle w:val="7"/>
      <w:spacing w:line="480" w:lineRule="auto"/>
      <w:ind w:firstLine="280" w:firstLine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F16473">
                          <w:pPr>
                            <w:snapToGrid w:val="0"/>
                            <w:rPr>
                              <w:rFonts w:ascii="宋体" w:hAnsi="宋体" w:eastAsia="宋体" w:cs="宋体"/>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77F16473">
                    <w:pPr>
                      <w:snapToGrid w:val="0"/>
                      <w:rPr>
                        <w:rFonts w:ascii="宋体" w:hAnsi="宋体" w:eastAsia="宋体" w:cs="宋体"/>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61BD">
    <w:pPr>
      <w:pStyle w:val="7"/>
    </w:pPr>
    <w:r>
      <mc:AlternateContent>
        <mc:Choice Requires="wps">
          <w:drawing>
            <wp:anchor distT="0" distB="0" distL="114300" distR="114300" simplePos="0" relativeHeight="251661312" behindDoc="1" locked="0" layoutInCell="1" allowOverlap="1">
              <wp:simplePos x="0" y="0"/>
              <wp:positionH relativeFrom="margin">
                <wp:posOffset>5255895</wp:posOffset>
              </wp:positionH>
              <wp:positionV relativeFrom="page">
                <wp:posOffset>9622155</wp:posOffset>
              </wp:positionV>
              <wp:extent cx="377190" cy="222885"/>
              <wp:effectExtent l="0" t="0" r="0" b="0"/>
              <wp:wrapTight wrapText="bothSides">
                <wp:wrapPolygon>
                  <wp:start x="182" y="308"/>
                  <wp:lineTo x="21418" y="308"/>
                  <wp:lineTo x="21418" y="21292"/>
                  <wp:lineTo x="182" y="21292"/>
                  <wp:lineTo x="182" y="308"/>
                </wp:wrapPolygon>
              </wp:wrapTight>
              <wp:docPr id="8" name="文本框 8"/>
              <wp:cNvGraphicFramePr/>
              <a:graphic xmlns:a="http://schemas.openxmlformats.org/drawingml/2006/main">
                <a:graphicData uri="http://schemas.microsoft.com/office/word/2010/wordprocessingShape">
                  <wps:wsp>
                    <wps:cNvSpPr txBox="1"/>
                    <wps:spPr>
                      <a:xfrm>
                        <a:off x="0" y="0"/>
                        <a:ext cx="377190" cy="222885"/>
                      </a:xfrm>
                      <a:prstGeom prst="rect">
                        <a:avLst/>
                      </a:prstGeom>
                      <a:noFill/>
                      <a:ln w="6350">
                        <a:noFill/>
                      </a:ln>
                      <a:effectLst/>
                    </wps:spPr>
                    <wps:txbx>
                      <w:txbxContent>
                        <w:p w14:paraId="3E273214">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13.85pt;margin-top:757.65pt;height:17.55pt;width:29.7pt;mso-position-horizontal-relative:margin;mso-position-vertical-relative:page;mso-wrap-distance-left:9pt;mso-wrap-distance-right:9pt;z-index:-251655168;mso-width-relative:page;mso-height-relative:page;" filled="f" stroked="f" coordsize="21600,21600" wrapcoords="182 308 21418 308 21418 21292 182 21292 182 308" o:gfxdata="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0IX6M2gAAAA0BAAAPAAAAAAAAAAEAIAAAACIAAABkcnMvZG93&#10;bnJldi54bWxQSwECFAAUAAAACACHTuJAL/ik9jcCAABjBAAADgAAAAAAAAABACAAAAApAQAAZHJz&#10;L2Uyb0RvYy54bWxQSwUGAAAAAAYABgBZAQAA0gUAAAAA&#10;">
              <v:fill on="f" focussize="0,0"/>
              <v:stroke on="f" weight="0.5pt"/>
              <v:imagedata o:title=""/>
              <o:lock v:ext="edit" aspectratio="f"/>
              <v:textbox inset="0mm,0mm,0mm,0mm">
                <w:txbxContent>
                  <w:p w14:paraId="3E273214">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w10:wrap type="tight"/>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4BF8">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58B1">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DCA9B">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EDA408"/>
    <w:rsid w:val="000C6C71"/>
    <w:rsid w:val="000E2C86"/>
    <w:rsid w:val="003D2FD6"/>
    <w:rsid w:val="00413646"/>
    <w:rsid w:val="0050325E"/>
    <w:rsid w:val="0051070E"/>
    <w:rsid w:val="00966886"/>
    <w:rsid w:val="00A62BB8"/>
    <w:rsid w:val="00AE795C"/>
    <w:rsid w:val="00B447EA"/>
    <w:rsid w:val="00B4618E"/>
    <w:rsid w:val="00E0011F"/>
    <w:rsid w:val="00E935AE"/>
    <w:rsid w:val="00EB0011"/>
    <w:rsid w:val="00F524F4"/>
    <w:rsid w:val="0D536A58"/>
    <w:rsid w:val="0FDA773D"/>
    <w:rsid w:val="17BC4F33"/>
    <w:rsid w:val="1F7B1885"/>
    <w:rsid w:val="1FF75DE9"/>
    <w:rsid w:val="2AFFFA33"/>
    <w:rsid w:val="3236AFDA"/>
    <w:rsid w:val="34FBF4BC"/>
    <w:rsid w:val="35FB9C0F"/>
    <w:rsid w:val="37FFA2E1"/>
    <w:rsid w:val="3AE66738"/>
    <w:rsid w:val="3B084A77"/>
    <w:rsid w:val="3B8FFEF7"/>
    <w:rsid w:val="3BFF5DFC"/>
    <w:rsid w:val="3C3EA7DF"/>
    <w:rsid w:val="3DF5C21D"/>
    <w:rsid w:val="3DF5E28E"/>
    <w:rsid w:val="3DFB1DE1"/>
    <w:rsid w:val="3DFF7443"/>
    <w:rsid w:val="3EFADBD6"/>
    <w:rsid w:val="3F594AB4"/>
    <w:rsid w:val="3FD91A89"/>
    <w:rsid w:val="3FEF4357"/>
    <w:rsid w:val="3FF73F76"/>
    <w:rsid w:val="3FFF6D73"/>
    <w:rsid w:val="43DE264D"/>
    <w:rsid w:val="46F3E63F"/>
    <w:rsid w:val="544BABD4"/>
    <w:rsid w:val="54BD926B"/>
    <w:rsid w:val="571A141E"/>
    <w:rsid w:val="57FFCD90"/>
    <w:rsid w:val="5E2E8CF7"/>
    <w:rsid w:val="5FB756FB"/>
    <w:rsid w:val="5FBBBC25"/>
    <w:rsid w:val="5FCF39A1"/>
    <w:rsid w:val="62FBA75C"/>
    <w:rsid w:val="651EC17E"/>
    <w:rsid w:val="659FEA1B"/>
    <w:rsid w:val="65DF0E8A"/>
    <w:rsid w:val="65F48AAD"/>
    <w:rsid w:val="6A9F0655"/>
    <w:rsid w:val="6CFF200B"/>
    <w:rsid w:val="6D772061"/>
    <w:rsid w:val="6EDF8694"/>
    <w:rsid w:val="6EFBAC27"/>
    <w:rsid w:val="6F5DCD2D"/>
    <w:rsid w:val="6FF5B734"/>
    <w:rsid w:val="716BC2FE"/>
    <w:rsid w:val="7473AE46"/>
    <w:rsid w:val="76EF449A"/>
    <w:rsid w:val="77EDA408"/>
    <w:rsid w:val="77F5B789"/>
    <w:rsid w:val="79BDF1AD"/>
    <w:rsid w:val="79FFD0F3"/>
    <w:rsid w:val="7A35AD89"/>
    <w:rsid w:val="7BFEE798"/>
    <w:rsid w:val="7C593405"/>
    <w:rsid w:val="7D8E5EC0"/>
    <w:rsid w:val="7DED8332"/>
    <w:rsid w:val="7E370FFE"/>
    <w:rsid w:val="7E76040B"/>
    <w:rsid w:val="7EF70841"/>
    <w:rsid w:val="7EFE711C"/>
    <w:rsid w:val="7F5FA672"/>
    <w:rsid w:val="7FD74D33"/>
    <w:rsid w:val="7FE503CC"/>
    <w:rsid w:val="7FE7541E"/>
    <w:rsid w:val="7FF6D0F4"/>
    <w:rsid w:val="7FF96793"/>
    <w:rsid w:val="7FFFDB9C"/>
    <w:rsid w:val="83FC47C6"/>
    <w:rsid w:val="8EEFE0D5"/>
    <w:rsid w:val="9F6EBCC6"/>
    <w:rsid w:val="9FBB7B0C"/>
    <w:rsid w:val="9FFFB0FF"/>
    <w:rsid w:val="A77D73AE"/>
    <w:rsid w:val="AF53BA78"/>
    <w:rsid w:val="AF8F30B8"/>
    <w:rsid w:val="B37FF10D"/>
    <w:rsid w:val="B7EE5CCE"/>
    <w:rsid w:val="B9A3B18A"/>
    <w:rsid w:val="BBE3412C"/>
    <w:rsid w:val="BBEB0AAC"/>
    <w:rsid w:val="BDCF9B56"/>
    <w:rsid w:val="BF673B98"/>
    <w:rsid w:val="BFC4C5EA"/>
    <w:rsid w:val="BFF74E26"/>
    <w:rsid w:val="DA6F6D8A"/>
    <w:rsid w:val="DBEE890C"/>
    <w:rsid w:val="DBFE6316"/>
    <w:rsid w:val="DDFBCDC6"/>
    <w:rsid w:val="DEFE9E59"/>
    <w:rsid w:val="DFB58113"/>
    <w:rsid w:val="E5FF714F"/>
    <w:rsid w:val="E72F5402"/>
    <w:rsid w:val="E7ED3B97"/>
    <w:rsid w:val="E8FC9EF2"/>
    <w:rsid w:val="EBF5AFA9"/>
    <w:rsid w:val="ED7A92A7"/>
    <w:rsid w:val="EEE7788E"/>
    <w:rsid w:val="EFFF29B0"/>
    <w:rsid w:val="EFFF8401"/>
    <w:rsid w:val="EFFFF122"/>
    <w:rsid w:val="F3DC5C4F"/>
    <w:rsid w:val="F56D5300"/>
    <w:rsid w:val="F63F2747"/>
    <w:rsid w:val="F657E50D"/>
    <w:rsid w:val="F6AF5875"/>
    <w:rsid w:val="F6BB7B4F"/>
    <w:rsid w:val="F6FB7A15"/>
    <w:rsid w:val="F7FE0161"/>
    <w:rsid w:val="FB37A020"/>
    <w:rsid w:val="FBF6746B"/>
    <w:rsid w:val="FBFD7856"/>
    <w:rsid w:val="FBFF37D2"/>
    <w:rsid w:val="FD7DD420"/>
    <w:rsid w:val="FDF35DEE"/>
    <w:rsid w:val="FDFB0FD1"/>
    <w:rsid w:val="FDFF8E24"/>
    <w:rsid w:val="FE4E60C6"/>
    <w:rsid w:val="FE6FF228"/>
    <w:rsid w:val="FEB448E6"/>
    <w:rsid w:val="FEDF95D0"/>
    <w:rsid w:val="FEFBCA0A"/>
    <w:rsid w:val="FFA7FDBC"/>
    <w:rsid w:val="FFB70465"/>
    <w:rsid w:val="FFBF877A"/>
    <w:rsid w:val="FFDE5EBF"/>
    <w:rsid w:val="FFEFFE2F"/>
    <w:rsid w:val="FFF6AE0E"/>
    <w:rsid w:val="FFFC3B33"/>
    <w:rsid w:val="FFFD56EB"/>
    <w:rsid w:val="FFFF1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keepNext/>
      <w:keepLines/>
      <w:adjustRightInd w:val="0"/>
      <w:jc w:val="distribute"/>
      <w:outlineLvl w:val="0"/>
    </w:pPr>
    <w:rPr>
      <w:rFonts w:eastAsia="公文小标宋简"/>
      <w:b/>
      <w:color w:val="FFFFFF"/>
      <w:w w:val="66"/>
      <w:kern w:val="44"/>
      <w:sz w:val="120"/>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basedOn w:val="1"/>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szCs w:val="32"/>
    </w:rPr>
  </w:style>
  <w:style w:type="paragraph" w:styleId="12">
    <w:name w:val="Body Text First Indent 2"/>
    <w:basedOn w:val="6"/>
    <w:qFormat/>
    <w:uiPriority w:val="0"/>
    <w:pPr>
      <w:ind w:firstLine="420" w:firstLineChars="200"/>
    </w:pPr>
  </w:style>
  <w:style w:type="paragraph" w:customStyle="1" w:styleId="15">
    <w:name w:val="机关字号"/>
    <w:basedOn w:val="1"/>
    <w:qFormat/>
    <w:uiPriority w:val="0"/>
    <w:pPr>
      <w:spacing w:line="580" w:lineRule="exact"/>
      <w:jc w:val="left"/>
    </w:pPr>
  </w:style>
  <w:style w:type="table" w:customStyle="1" w:styleId="16">
    <w:name w:val="Table Normal"/>
    <w:qFormat/>
    <w:uiPriority w:val="0"/>
    <w:tblPr>
      <w:tblCellMar>
        <w:top w:w="0" w:type="dxa"/>
        <w:left w:w="0" w:type="dxa"/>
        <w:bottom w:w="0" w:type="dxa"/>
        <w:right w:w="0" w:type="dxa"/>
      </w:tblCellMar>
    </w:tblPr>
  </w:style>
  <w:style w:type="paragraph" w:customStyle="1" w:styleId="17">
    <w:name w:val="_Style 1"/>
    <w:basedOn w:val="1"/>
    <w:qFormat/>
    <w:uiPriority w:val="0"/>
    <w:pPr>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1143</Words>
  <Characters>1192</Characters>
  <Lines>17</Lines>
  <Paragraphs>4</Paragraphs>
  <TotalTime>5</TotalTime>
  <ScaleCrop>false</ScaleCrop>
  <LinksUpToDate>false</LinksUpToDate>
  <CharactersWithSpaces>1192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2023-11-18T06:23:00Z</dcterms:created>
  <dc:creator>huangwenyuan</dc:creator>
  <cp:lastModifiedBy>Mr.</cp:lastModifiedBy>
  <cp:lastPrinted>2024-03-20T01:48:00Z</cp:lastPrinted>
  <dcterms:modified xsi:type="dcterms:W3CDTF">2026-06-08T09:31:30Z</dcterms:modified>
  <dc:title>_x0001_</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F303DBF9FDD14713A7928DA5D1D1090F_13</vt:lpwstr>
  </property>
  <property fmtid="{D5CDD505-2E9C-101B-9397-08002B2CF9AE}" pid="4" name="KSOTemplateDocerSaveRecord">
    <vt:lpwstr>eyJoZGlkIjoiYmJhYzkyZjcyMzk4MGFjYjYwOWJlMzA3ZmZjNmExOGUiLCJ1c2VySWQiOiIxMzYyODAwMDAyIn0=</vt:lpwstr>
  </property>
</Properties>
</file>