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after="0" w:line="396" w:lineRule="atLeast"/>
        <w:ind w:firstLine="0" w:firstLineChars="0"/>
        <w:jc w:val="both"/>
        <w:textAlignment w:val="auto"/>
        <w:outlineLvl w:val="9"/>
        <w:rPr>
          <w:rFonts w:hint="eastAsia" w:ascii="宋体" w:hAnsi="宋体" w:eastAsia="宋体" w:cs="宋体"/>
          <w:kern w:val="21"/>
          <w:sz w:val="24"/>
          <w:szCs w:val="24"/>
          <w:lang w:val="en-US" w:eastAsia="zh-CN"/>
        </w:rPr>
      </w:pPr>
      <w:r>
        <w:rPr>
          <w:rFonts w:hint="eastAsia" w:ascii="宋体" w:hAnsi="宋体" w:eastAsia="宋体" w:cs="宋体"/>
          <w:kern w:val="21"/>
          <w:sz w:val="24"/>
          <w:szCs w:val="24"/>
          <w:lang w:val="en-US" w:eastAsia="zh-CN"/>
        </w:rPr>
        <w:t>附件</w:t>
      </w:r>
    </w:p>
    <w:p>
      <w:pPr>
        <w:pStyle w:val="2"/>
        <w:keepNext w:val="0"/>
        <w:keepLines w:val="0"/>
        <w:pageBreakBefore w:val="0"/>
        <w:widowControl w:val="0"/>
        <w:kinsoku/>
        <w:wordWrap/>
        <w:overflowPunct/>
        <w:topLinePunct w:val="0"/>
        <w:autoSpaceDE/>
        <w:autoSpaceDN/>
        <w:bidi w:val="0"/>
        <w:adjustRightInd w:val="0"/>
        <w:snapToGrid w:val="0"/>
        <w:spacing w:after="0" w:line="0" w:lineRule="atLeast"/>
        <w:ind w:firstLine="0" w:firstLineChars="0"/>
        <w:jc w:val="center"/>
        <w:textAlignment w:val="auto"/>
        <w:outlineLvl w:val="9"/>
        <w:rPr>
          <w:rFonts w:hint="eastAsia" w:ascii="宋体" w:hAnsi="宋体" w:eastAsia="宋体" w:cs="宋体"/>
          <w:kern w:val="21"/>
          <w:sz w:val="36"/>
          <w:szCs w:val="36"/>
          <w:lang w:val="en-US" w:eastAsia="zh-CN"/>
        </w:rPr>
      </w:pPr>
      <w:r>
        <w:rPr>
          <w:rFonts w:hint="eastAsia" w:ascii="宋体" w:hAnsi="宋体" w:eastAsia="宋体" w:cs="宋体"/>
          <w:kern w:val="21"/>
          <w:sz w:val="36"/>
          <w:szCs w:val="36"/>
          <w:lang w:val="en-US" w:eastAsia="zh-CN"/>
        </w:rPr>
        <w:t>深圳市临床医学研究中心运行绩效</w:t>
      </w:r>
    </w:p>
    <w:p>
      <w:pPr>
        <w:pStyle w:val="2"/>
        <w:keepNext w:val="0"/>
        <w:keepLines w:val="0"/>
        <w:pageBreakBefore w:val="0"/>
        <w:widowControl w:val="0"/>
        <w:kinsoku/>
        <w:wordWrap/>
        <w:overflowPunct/>
        <w:topLinePunct w:val="0"/>
        <w:autoSpaceDE/>
        <w:autoSpaceDN/>
        <w:bidi w:val="0"/>
        <w:adjustRightInd w:val="0"/>
        <w:snapToGrid w:val="0"/>
        <w:spacing w:after="157" w:afterLines="50" w:line="0" w:lineRule="atLeast"/>
        <w:ind w:firstLine="0" w:firstLineChars="0"/>
        <w:jc w:val="center"/>
        <w:textAlignment w:val="auto"/>
        <w:outlineLvl w:val="9"/>
        <w:rPr>
          <w:rFonts w:hint="eastAsia" w:ascii="宋体" w:hAnsi="宋体" w:eastAsia="宋体" w:cs="宋体"/>
          <w:kern w:val="21"/>
          <w:sz w:val="36"/>
          <w:szCs w:val="36"/>
          <w:lang w:val="en-US" w:eastAsia="zh-CN"/>
        </w:rPr>
      </w:pPr>
      <w:r>
        <w:rPr>
          <w:rFonts w:hint="eastAsia" w:ascii="宋体" w:hAnsi="宋体" w:eastAsia="宋体" w:cs="宋体"/>
          <w:kern w:val="21"/>
          <w:sz w:val="36"/>
          <w:szCs w:val="36"/>
          <w:lang w:val="en-US" w:eastAsia="zh-CN"/>
        </w:rPr>
        <w:t>评估指标体系</w:t>
      </w:r>
    </w:p>
    <w:tbl>
      <w:tblPr>
        <w:tblStyle w:val="4"/>
        <w:tblW w:w="491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995"/>
        <w:gridCol w:w="955"/>
        <w:gridCol w:w="1116"/>
        <w:gridCol w:w="52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tblHeader/>
          <w:jc w:val="center"/>
        </w:trPr>
        <w:tc>
          <w:tcPr>
            <w:tcW w:w="10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一级指标</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（权重%）</w:t>
            </w:r>
          </w:p>
        </w:tc>
        <w:tc>
          <w:tcPr>
            <w:tcW w:w="102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二级指标</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（权重%）</w:t>
            </w:r>
          </w:p>
        </w:tc>
        <w:tc>
          <w:tcPr>
            <w:tcW w:w="119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三级指标</w:t>
            </w:r>
          </w:p>
        </w:tc>
        <w:tc>
          <w:tcPr>
            <w:tcW w:w="557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指标内容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1</w:t>
            </w:r>
            <w:r>
              <w:rPr>
                <w:rFonts w:hint="eastAsia" w:ascii="宋体" w:hAnsi="宋体" w:eastAsia="宋体" w:cs="宋体"/>
                <w:kern w:val="21"/>
                <w:sz w:val="21"/>
                <w:szCs w:val="21"/>
                <w:lang w:eastAsia="zh-CN"/>
              </w:rPr>
              <w:t>．</w:t>
            </w:r>
            <w:r>
              <w:rPr>
                <w:rFonts w:hint="eastAsia" w:ascii="宋体" w:hAnsi="宋体" w:eastAsia="宋体" w:cs="宋体"/>
                <w:kern w:val="21"/>
                <w:sz w:val="21"/>
                <w:szCs w:val="21"/>
              </w:rPr>
              <w:t>建设水平（30%）</w:t>
            </w:r>
          </w:p>
        </w:tc>
        <w:tc>
          <w:tcPr>
            <w:tcW w:w="10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中心建设</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（15%）</w:t>
            </w:r>
          </w:p>
        </w:tc>
        <w:tc>
          <w:tcPr>
            <w:tcW w:w="119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运行管理</w:t>
            </w:r>
          </w:p>
        </w:tc>
        <w:tc>
          <w:tcPr>
            <w:tcW w:w="5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依托单位人、财、物配套支持情况，组织管理、资源共享、人员激励以及制度建设情况，科研诚信以及伦理建设情况等。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19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团队建设</w:t>
            </w:r>
          </w:p>
        </w:tc>
        <w:tc>
          <w:tcPr>
            <w:tcW w:w="5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中心专职临床研究及管理人员配备、团队学科结构及梯队建设、临床研究人才培养与引进情况等。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19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平台构建</w:t>
            </w:r>
          </w:p>
        </w:tc>
        <w:tc>
          <w:tcPr>
            <w:tcW w:w="5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生物样本库和临床医疗数据库建设规模、质量、管理规范性和共享使用情况，GCP平台等平台、基地建设水平等。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网络建设</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（10%）</w:t>
            </w:r>
          </w:p>
        </w:tc>
        <w:tc>
          <w:tcPr>
            <w:tcW w:w="119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核心成员</w:t>
            </w:r>
          </w:p>
        </w:tc>
        <w:tc>
          <w:tcPr>
            <w:tcW w:w="5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协同网络中的基层医疗卫生机构及其参与临床研究情况。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19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基层机构</w:t>
            </w:r>
          </w:p>
        </w:tc>
        <w:tc>
          <w:tcPr>
            <w:tcW w:w="5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lang w:eastAsia="zh-CN"/>
              </w:rPr>
            </w:pPr>
            <w:r>
              <w:rPr>
                <w:rFonts w:hint="eastAsia" w:ascii="宋体" w:hAnsi="宋体" w:eastAsia="宋体" w:cs="宋体"/>
                <w:kern w:val="21"/>
                <w:sz w:val="21"/>
                <w:szCs w:val="21"/>
              </w:rPr>
              <w:t>协同网络中的大学、科研院所及企业的参与情况</w:t>
            </w:r>
            <w:r>
              <w:rPr>
                <w:rFonts w:hint="eastAsia" w:ascii="宋体" w:hAnsi="宋体" w:eastAsia="宋体" w:cs="宋体"/>
                <w:kern w:val="21"/>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发展潜力</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（5%）</w:t>
            </w:r>
          </w:p>
        </w:tc>
        <w:tc>
          <w:tcPr>
            <w:tcW w:w="119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战略规划</w:t>
            </w:r>
          </w:p>
        </w:tc>
        <w:tc>
          <w:tcPr>
            <w:tcW w:w="5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中心及其网络建设整体发展规划、领域研究规划的合理性、前瞻性等。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1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中心发展</w:t>
            </w:r>
          </w:p>
        </w:tc>
        <w:tc>
          <w:tcPr>
            <w:tcW w:w="5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中心承接各类科研项目及获得研究经费情况以及与深圳企业合作情况。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2</w:t>
            </w:r>
            <w:r>
              <w:rPr>
                <w:rFonts w:hint="eastAsia" w:ascii="宋体" w:hAnsi="宋体" w:eastAsia="宋体" w:cs="宋体"/>
                <w:kern w:val="21"/>
                <w:sz w:val="21"/>
                <w:szCs w:val="21"/>
                <w:lang w:eastAsia="zh-CN"/>
              </w:rPr>
              <w:t>．</w:t>
            </w:r>
            <w:r>
              <w:rPr>
                <w:rFonts w:hint="eastAsia" w:ascii="宋体" w:hAnsi="宋体" w:eastAsia="宋体" w:cs="宋体"/>
                <w:kern w:val="21"/>
                <w:sz w:val="21"/>
                <w:szCs w:val="21"/>
              </w:rPr>
              <w:t>科研产出（50%）</w:t>
            </w:r>
          </w:p>
        </w:tc>
        <w:tc>
          <w:tcPr>
            <w:tcW w:w="102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协同研究</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（15%）</w:t>
            </w:r>
          </w:p>
        </w:tc>
        <w:tc>
          <w:tcPr>
            <w:tcW w:w="11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研究者发起的临床研究</w:t>
            </w:r>
          </w:p>
        </w:tc>
        <w:tc>
          <w:tcPr>
            <w:tcW w:w="5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大型临床研究队列构建情况，包括数量、规模、规范性、产出质量等；大样本量、前瞻性临床研究；开展药品、医疗器械临床评价研究以及上市产品应用评估与验证等真实世界研究情况。牵头和参与国际、国内多中心研究的情况。</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4"/>
        <w:tblW w:w="491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995"/>
        <w:gridCol w:w="955"/>
        <w:gridCol w:w="1326"/>
        <w:gridCol w:w="49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tblHeader/>
          <w:jc w:val="center"/>
        </w:trPr>
        <w:tc>
          <w:tcPr>
            <w:tcW w:w="10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一级指标</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（权重%）</w:t>
            </w:r>
          </w:p>
        </w:tc>
        <w:tc>
          <w:tcPr>
            <w:tcW w:w="102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二级指标</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（权重%）</w:t>
            </w:r>
          </w:p>
        </w:tc>
        <w:tc>
          <w:tcPr>
            <w:tcW w:w="142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三级指标</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黑体" w:hAnsi="黑体" w:eastAsia="黑体" w:cs="黑体"/>
                <w:kern w:val="21"/>
                <w:sz w:val="21"/>
                <w:szCs w:val="21"/>
              </w:rPr>
            </w:pPr>
            <w:r>
              <w:rPr>
                <w:rFonts w:hint="eastAsia" w:ascii="黑体" w:hAnsi="黑体" w:eastAsia="黑体" w:cs="黑体"/>
                <w:kern w:val="21"/>
                <w:sz w:val="21"/>
                <w:szCs w:val="21"/>
              </w:rPr>
              <w:t>指标内容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lang w:val="en-US" w:eastAsia="zh-CN" w:bidi="ar-SA"/>
              </w:rPr>
            </w:pPr>
            <w:r>
              <w:rPr>
                <w:rFonts w:hint="eastAsia" w:ascii="宋体" w:hAnsi="宋体" w:eastAsia="宋体" w:cs="宋体"/>
                <w:kern w:val="21"/>
                <w:sz w:val="21"/>
                <w:szCs w:val="21"/>
              </w:rPr>
              <w:t>2</w:t>
            </w:r>
            <w:r>
              <w:rPr>
                <w:rFonts w:hint="eastAsia" w:ascii="宋体" w:hAnsi="宋体" w:eastAsia="宋体" w:cs="宋体"/>
                <w:kern w:val="21"/>
                <w:sz w:val="21"/>
                <w:szCs w:val="21"/>
                <w:lang w:eastAsia="zh-CN"/>
              </w:rPr>
              <w:t>．</w:t>
            </w:r>
            <w:r>
              <w:rPr>
                <w:rFonts w:hint="eastAsia" w:ascii="宋体" w:hAnsi="宋体" w:eastAsia="宋体" w:cs="宋体"/>
                <w:kern w:val="21"/>
                <w:sz w:val="21"/>
                <w:szCs w:val="21"/>
              </w:rPr>
              <w:t>科研产出（50%）</w:t>
            </w:r>
          </w:p>
        </w:tc>
        <w:tc>
          <w:tcPr>
            <w:tcW w:w="10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协同研究</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lang w:val="en-US" w:eastAsia="zh-CN" w:bidi="ar-SA"/>
              </w:rPr>
            </w:pPr>
            <w:r>
              <w:rPr>
                <w:rFonts w:hint="eastAsia" w:ascii="宋体" w:hAnsi="宋体" w:eastAsia="宋体" w:cs="宋体"/>
                <w:kern w:val="21"/>
                <w:sz w:val="21"/>
                <w:szCs w:val="21"/>
              </w:rPr>
              <w:t>（15%）</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注册类临床</w:t>
            </w:r>
          </w:p>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研究</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牵头和参与国际、国内临床试验，尤其是参与本土企业发起的临床试验。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技术转移</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与高校、科研院所、企业等开展建设领域的合作研究及转化情况。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临床转化</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（20%）</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指南规范</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诊疗指南和技术规范产出、优化疾病防控策略建议、临床新技术备案情况等。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产品创新</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获得新药注册证、医疗器械注册证、软件著作权和专利情况。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学术地位</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（15%）</w:t>
            </w:r>
          </w:p>
        </w:tc>
        <w:tc>
          <w:tcPr>
            <w:tcW w:w="14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学术水平</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临床研究论文、专著发表情况，国际和国家级奖励情况。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42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学术影响</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国家和国际学术机构任职、国际期刊任职（主编或副主编）、主办学术会议等情况。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3</w:t>
            </w:r>
            <w:r>
              <w:rPr>
                <w:rFonts w:hint="eastAsia" w:ascii="宋体" w:hAnsi="宋体" w:eastAsia="宋体" w:cs="宋体"/>
                <w:kern w:val="21"/>
                <w:sz w:val="21"/>
                <w:szCs w:val="21"/>
                <w:lang w:eastAsia="zh-CN"/>
              </w:rPr>
              <w:t>．</w:t>
            </w:r>
            <w:r>
              <w:rPr>
                <w:rFonts w:hint="eastAsia" w:ascii="宋体" w:hAnsi="宋体" w:eastAsia="宋体" w:cs="宋体"/>
                <w:kern w:val="21"/>
                <w:sz w:val="21"/>
                <w:szCs w:val="21"/>
              </w:rPr>
              <w:t>公共服务（20%）</w:t>
            </w:r>
          </w:p>
        </w:tc>
        <w:tc>
          <w:tcPr>
            <w:tcW w:w="10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技术推广</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（12%）</w:t>
            </w:r>
          </w:p>
        </w:tc>
        <w:tc>
          <w:tcPr>
            <w:tcW w:w="142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适宜技术推广</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基层适宜技术推广的数量、规模、效果等情况。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42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人员培训</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培训专科医务人员、临床研究科研人员情况</w:t>
            </w:r>
            <w:r>
              <w:rPr>
                <w:rFonts w:hint="eastAsia" w:ascii="宋体" w:hAnsi="宋体" w:eastAsia="宋体" w:cs="宋体"/>
                <w:kern w:val="21"/>
                <w:sz w:val="21"/>
                <w:szCs w:val="21"/>
                <w:lang w:eastAsia="zh-CN"/>
              </w:rPr>
              <w:t>，</w:t>
            </w:r>
            <w:r>
              <w:rPr>
                <w:rFonts w:hint="eastAsia" w:ascii="宋体" w:hAnsi="宋体" w:eastAsia="宋体" w:cs="宋体"/>
                <w:kern w:val="21"/>
                <w:sz w:val="21"/>
                <w:szCs w:val="21"/>
              </w:rPr>
              <w:t>包括培训教材、受教人次等。</w:t>
            </w:r>
            <w:bookmarkStart w:id="0" w:name="_GoBack"/>
            <w:bookmarkEnd w:id="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网络服务</w:t>
            </w:r>
          </w:p>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（8%）</w:t>
            </w:r>
          </w:p>
        </w:tc>
        <w:tc>
          <w:tcPr>
            <w:tcW w:w="142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远程医疗</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远程医疗服务情况，包括指导单位数量、范围、效果等。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42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健康扶贫</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支持健康扶贫的情况和效果等。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42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科学普及</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科普书籍、报刊、APP、网站等面向公众的医疗健康知识普及情况。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83" w:hRule="atLeast"/>
          <w:jc w:val="center"/>
        </w:trPr>
        <w:tc>
          <w:tcPr>
            <w:tcW w:w="106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0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p>
        </w:tc>
        <w:tc>
          <w:tcPr>
            <w:tcW w:w="142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center"/>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开放共享</w:t>
            </w:r>
          </w:p>
        </w:tc>
        <w:tc>
          <w:tcPr>
            <w:tcW w:w="53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0" w:lineRule="exact"/>
              <w:ind w:left="-21" w:leftChars="-10" w:right="-21" w:rightChars="-10" w:firstLine="0" w:firstLineChars="0"/>
              <w:jc w:val="both"/>
              <w:textAlignment w:val="auto"/>
              <w:outlineLvl w:val="9"/>
              <w:rPr>
                <w:rFonts w:hint="eastAsia" w:ascii="宋体" w:hAnsi="宋体" w:eastAsia="宋体" w:cs="宋体"/>
                <w:kern w:val="21"/>
                <w:sz w:val="21"/>
                <w:szCs w:val="21"/>
              </w:rPr>
            </w:pPr>
            <w:r>
              <w:rPr>
                <w:rFonts w:hint="eastAsia" w:ascii="宋体" w:hAnsi="宋体" w:eastAsia="宋体" w:cs="宋体"/>
                <w:kern w:val="21"/>
                <w:sz w:val="21"/>
                <w:szCs w:val="21"/>
              </w:rPr>
              <w:t>科研设施与仪器、实验室、样本资源库等向网络成员单位开放共享的情况。</w:t>
            </w:r>
          </w:p>
        </w:tc>
      </w:tr>
    </w:tbl>
    <w:p>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480" w:firstLineChars="200"/>
        <w:jc w:val="both"/>
        <w:textAlignment w:val="auto"/>
        <w:outlineLvl w:val="9"/>
        <w:rPr>
          <w:rFonts w:hint="eastAsia" w:ascii="宋体" w:hAnsi="宋体" w:eastAsia="宋体" w:cs="宋体"/>
          <w:kern w:val="21"/>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6AFC6F74"/>
    <w:rsid w:val="6AFC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rPr>
      <w:rFonts w:ascii="Times New Roman" w:hAnsi="Times New Roman"/>
      <w:szCs w:val="20"/>
    </w:rPr>
  </w:style>
  <w:style w:type="paragraph" w:styleId="3">
    <w:name w:val="Title"/>
    <w:basedOn w:val="1"/>
    <w:next w:val="1"/>
    <w:qFormat/>
    <w:uiPriority w:val="0"/>
    <w:pPr>
      <w:spacing w:line="580" w:lineRule="exact"/>
      <w:jc w:val="center"/>
      <w:outlineLvl w:val="0"/>
    </w:pPr>
    <w:rPr>
      <w:rFonts w:ascii="Arial" w:hAnsi="Arial" w:eastAsia="隶书" w:cs="Arial"/>
      <w:b/>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2023-06-14T03:04:00Z</dcterms:created>
  <dc:creator>龙瑶</dc:creator>
  <cp:lastModifiedBy>龙瑶</cp:lastModifiedBy>
  <dcterms:modified xsi:type="dcterms:W3CDTF">2023-06-14T03:04:30Z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BB69933006B34D2293BAF875BCB9C615_11</vt:lpwstr>
  </property>
</Properties>
</file>