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exact"/>
        <w:jc w:val="center"/>
        <w:rPr>
          <w:rFonts w:eastAsia="黑体"/>
          <w:bCs w:val="0"/>
          <w:sz w:val="32"/>
          <w:szCs w:val="32"/>
        </w:rPr>
      </w:pPr>
      <w:r>
        <w:rPr>
          <w:rFonts w:eastAsia="黑体"/>
          <w:b w:val="0"/>
          <w:bCs w:val="0"/>
          <w:sz w:val="32"/>
          <w:szCs w:val="32"/>
          <w:lang w:val="en"/>
        </w:rPr>
        <w:t>Key Considerations for Formal Review for 202</w:t>
      </w:r>
      <w:r>
        <w:rPr>
          <w:rFonts w:hint="eastAsia" w:eastAsia="黑体"/>
          <w:b w:val="0"/>
          <w:bCs w:val="0"/>
          <w:sz w:val="32"/>
          <w:szCs w:val="32"/>
          <w:lang w:val="en"/>
        </w:rPr>
        <w:t>6</w:t>
      </w:r>
      <w:r>
        <w:rPr>
          <w:rFonts w:eastAsia="黑体"/>
          <w:b w:val="0"/>
          <w:bCs w:val="0"/>
          <w:sz w:val="32"/>
          <w:szCs w:val="32"/>
          <w:lang w:val="en"/>
        </w:rPr>
        <w:t xml:space="preserve"> General Program Sponsored by Shenzhen Natural Science Foundation in Basic Research Fund</w:t>
      </w:r>
    </w:p>
    <w:p>
      <w:pPr>
        <w:rPr>
          <w:b/>
        </w:rPr>
      </w:pPr>
    </w:p>
    <w:tbl>
      <w:tblPr>
        <w:tblStyle w:val="9"/>
        <w:tblW w:w="139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0" w:type="dxa"/>
            <w:vAlign w:val="center"/>
          </w:tcPr>
          <w:p>
            <w:pPr>
              <w:spacing w:line="288" w:lineRule="auto"/>
              <w:ind w:right="25" w:rightChars="12"/>
              <w:jc w:val="center"/>
              <w:rPr>
                <w:b/>
                <w:szCs w:val="21"/>
              </w:rPr>
            </w:pPr>
            <w:r>
              <w:rPr>
                <w:b/>
                <w:bCs/>
                <w:szCs w:val="21"/>
                <w:lang w:val="en"/>
              </w:rPr>
              <w:t>SN</w:t>
            </w:r>
          </w:p>
        </w:tc>
        <w:tc>
          <w:tcPr>
            <w:tcW w:w="13107" w:type="dxa"/>
            <w:vAlign w:val="center"/>
          </w:tcPr>
          <w:p>
            <w:pPr>
              <w:snapToGrid w:val="0"/>
              <w:spacing w:line="288" w:lineRule="auto"/>
              <w:ind w:right="25" w:rightChars="12"/>
              <w:jc w:val="center"/>
              <w:rPr>
                <w:b/>
                <w:szCs w:val="21"/>
              </w:rPr>
            </w:pPr>
            <w:r>
              <w:rPr>
                <w:b/>
                <w:bCs/>
                <w:szCs w:val="21"/>
                <w:lang w:val="en"/>
              </w:rPr>
              <w:t>Key Considerations for Review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810" w:type="dxa"/>
            <w:vAlign w:val="center"/>
          </w:tcPr>
          <w:p>
            <w:pPr>
              <w:spacing w:line="288" w:lineRule="auto"/>
              <w:ind w:right="25" w:rightChars="12"/>
              <w:jc w:val="center"/>
              <w:rPr>
                <w:szCs w:val="21"/>
              </w:rPr>
            </w:pPr>
            <w:r>
              <w:rPr>
                <w:szCs w:val="21"/>
                <w:lang w:val="en"/>
              </w:rPr>
              <w:t>1</w:t>
            </w:r>
          </w:p>
        </w:tc>
        <w:tc>
          <w:tcPr>
            <w:tcW w:w="13107" w:type="dxa"/>
            <w:vAlign w:val="center"/>
          </w:tcPr>
          <w:p>
            <w:pPr>
              <w:snapToGrid w:val="0"/>
              <w:spacing w:line="288" w:lineRule="auto"/>
              <w:ind w:right="25" w:rightChars="12"/>
              <w:jc w:val="left"/>
              <w:rPr>
                <w:szCs w:val="21"/>
              </w:rPr>
            </w:pPr>
            <w:r>
              <w:rPr>
                <w:b/>
                <w:bCs/>
                <w:szCs w:val="21"/>
                <w:lang w:val="en"/>
              </w:rPr>
              <w:t xml:space="preserve">The applicant organization </w:t>
            </w:r>
            <w:r>
              <w:rPr>
                <w:szCs w:val="21"/>
                <w:lang w:val="en"/>
              </w:rPr>
              <w:t xml:space="preserve">(leading applicant organization) </w:t>
            </w:r>
            <w:r>
              <w:rPr>
                <w:b/>
                <w:bCs/>
                <w:szCs w:val="21"/>
                <w:lang w:val="en"/>
              </w:rPr>
              <w:t xml:space="preserve">shall meet the following </w:t>
            </w:r>
            <w:r>
              <w:rPr>
                <w:szCs w:val="21"/>
                <w:lang w:val="en"/>
              </w:rPr>
              <w:t>conditions:</w:t>
            </w:r>
          </w:p>
          <w:p>
            <w:pPr>
              <w:snapToGrid w:val="0"/>
              <w:spacing w:line="288" w:lineRule="auto"/>
              <w:ind w:right="25" w:rightChars="12" w:firstLine="420" w:firstLineChars="200"/>
              <w:jc w:val="left"/>
              <w:rPr>
                <w:szCs w:val="21"/>
              </w:rPr>
            </w:pPr>
            <w:r>
              <w:rPr>
                <w:szCs w:val="21"/>
                <w:lang w:val="en"/>
              </w:rPr>
              <w:t xml:space="preserve">Institutions in Shenzhen or Shenshan Special Cooperation Zone with independent legal </w:t>
            </w:r>
            <w:r>
              <w:rPr>
                <w:rFonts w:hint="eastAsia"/>
                <w:szCs w:val="21"/>
                <w:lang w:val="en"/>
              </w:rPr>
              <w:t xml:space="preserve">entity </w:t>
            </w:r>
            <w:r>
              <w:rPr>
                <w:szCs w:val="21"/>
                <w:lang w:val="en"/>
              </w:rPr>
              <w:t xml:space="preserve">status, including universities, research institutes, </w:t>
            </w:r>
            <w:r>
              <w:rPr>
                <w:rFonts w:hint="eastAsia"/>
                <w:szCs w:val="21"/>
                <w:lang w:val="en"/>
              </w:rPr>
              <w:t xml:space="preserve">medical and </w:t>
            </w:r>
            <w:r>
              <w:rPr>
                <w:szCs w:val="21"/>
                <w:lang w:val="en"/>
              </w:rPr>
              <w:t>health institutions, and other enterprises with basic research capabilities</w:t>
            </w:r>
            <w:r>
              <w:rPr>
                <w:kern w:val="0"/>
                <w:szCs w:val="32"/>
                <w:lang w:val="en"/>
              </w:rPr>
              <w:t xml:space="preserve"> (</w:t>
            </w:r>
            <w:r>
              <w:rPr>
                <w:kern w:val="0"/>
                <w:szCs w:val="32"/>
              </w:rPr>
              <w:t xml:space="preserve">host institution of </w:t>
            </w:r>
            <w:r>
              <w:rPr>
                <w:kern w:val="0"/>
                <w:szCs w:val="32"/>
                <w:lang w:val="en"/>
              </w:rPr>
              <w:t>key laboratories approved by national, provincial, or municipal science and technology authorities)</w:t>
            </w:r>
            <w:r>
              <w:rPr>
                <w:szCs w:val="21"/>
                <w:lang w:val="en"/>
              </w:rPr>
              <w:t>, or social organizations, as well as other entities approved by the municipal government.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810" w:type="dxa"/>
            <w:vAlign w:val="center"/>
          </w:tcPr>
          <w:p>
            <w:pPr>
              <w:spacing w:line="288" w:lineRule="auto"/>
              <w:ind w:right="25" w:rightChars="12"/>
              <w:jc w:val="center"/>
              <w:rPr>
                <w:szCs w:val="21"/>
              </w:rPr>
            </w:pPr>
            <w:r>
              <w:rPr>
                <w:szCs w:val="21"/>
                <w:lang w:val="en"/>
              </w:rPr>
              <w:t>2</w:t>
            </w:r>
          </w:p>
        </w:tc>
        <w:tc>
          <w:tcPr>
            <w:tcW w:w="13107" w:type="dxa"/>
            <w:vAlign w:val="center"/>
          </w:tcPr>
          <w:p>
            <w:pPr>
              <w:snapToGrid w:val="0"/>
              <w:spacing w:line="288" w:lineRule="auto"/>
              <w:ind w:right="25" w:rightChars="12"/>
              <w:jc w:val="left"/>
              <w:rPr>
                <w:szCs w:val="21"/>
              </w:rPr>
            </w:pPr>
            <w:r>
              <w:rPr>
                <w:b/>
                <w:bCs/>
                <w:szCs w:val="21"/>
                <w:lang w:val="en"/>
              </w:rPr>
              <w:t>The Project Leader</w:t>
            </w:r>
            <w:r>
              <w:rPr>
                <w:szCs w:val="21"/>
                <w:lang w:val="en"/>
              </w:rPr>
              <w:t xml:space="preserve"> shall be a full-time employee of the applicant organization, undertake substantial tasks in the project research, have experience in undertaking basic research projects or engaging in basic research work, and meet one of the following conditions:</w:t>
            </w:r>
          </w:p>
          <w:p>
            <w:pPr>
              <w:snapToGrid w:val="0"/>
              <w:spacing w:line="288" w:lineRule="auto"/>
              <w:ind w:right="25" w:rightChars="12" w:firstLine="420" w:firstLineChars="200"/>
              <w:jc w:val="left"/>
              <w:rPr>
                <w:szCs w:val="21"/>
              </w:rPr>
            </w:pPr>
            <w:r>
              <w:rPr>
                <w:szCs w:val="21"/>
                <w:lang w:val="en"/>
              </w:rPr>
              <w:t>1. Holds a senior professional title</w:t>
            </w:r>
            <w:r>
              <w:rPr>
                <w:rFonts w:hint="eastAsia"/>
                <w:szCs w:val="21"/>
                <w:lang w:val="en"/>
              </w:rPr>
              <w:t xml:space="preserve"> or</w:t>
            </w:r>
            <w:r>
              <w:rPr>
                <w:szCs w:val="21"/>
                <w:lang w:val="en"/>
              </w:rPr>
              <w:t xml:space="preserve"> a doctoral degree;</w:t>
            </w:r>
          </w:p>
          <w:p>
            <w:pPr>
              <w:snapToGrid w:val="0"/>
              <w:spacing w:line="288" w:lineRule="auto"/>
              <w:ind w:right="25" w:rightChars="12" w:firstLine="420" w:firstLineChars="200"/>
              <w:jc w:val="left"/>
              <w:rPr>
                <w:szCs w:val="21"/>
              </w:rPr>
            </w:pPr>
            <w:r>
              <w:rPr>
                <w:szCs w:val="21"/>
                <w:lang w:val="en"/>
              </w:rPr>
              <w:t xml:space="preserve">2. </w:t>
            </w:r>
            <w:r>
              <w:rPr>
                <w:rFonts w:hint="eastAsia"/>
                <w:szCs w:val="21"/>
                <w:lang w:val="en"/>
              </w:rPr>
              <w:t>I</w:t>
            </w:r>
            <w:r>
              <w:rPr>
                <w:szCs w:val="21"/>
                <w:lang w:val="en"/>
              </w:rPr>
              <w:t>s a current PhD student. PhD students applying are exempt from the requirement that the Project Leader shall be a full-time staff member of the applicant organization, provided that they obtain explicit consent from their supervisor (clearly specifying the identity of the Project Leader and the start and end dates of the doctoral study period, with confirmation that the dissertation content will not be directly used for this project application). The applicant organization shall coordinate and align the research timeline of the General Program project with the PhD student’s academic schedule to ensure the project is completed and accepted on schedule.</w:t>
            </w:r>
          </w:p>
          <w:p>
            <w:pPr>
              <w:snapToGrid w:val="0"/>
              <w:spacing w:line="288" w:lineRule="auto"/>
              <w:ind w:right="25" w:rightChars="12" w:firstLine="420" w:firstLineChars="200"/>
              <w:jc w:val="left"/>
              <w:rPr>
                <w:szCs w:val="21"/>
              </w:rPr>
            </w:pPr>
            <w:r>
              <w:rPr>
                <w:szCs w:val="21"/>
                <w:lang w:val="en"/>
              </w:rPr>
              <w:t>3. Holds an intermediate professional title or a master’s degree, and is recommended by two senior professionals in the same research field.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10" w:type="dxa"/>
            <w:vAlign w:val="center"/>
          </w:tcPr>
          <w:p>
            <w:pPr>
              <w:spacing w:line="288" w:lineRule="auto"/>
              <w:ind w:right="25" w:rightChars="12"/>
              <w:jc w:val="center"/>
              <w:rPr>
                <w:szCs w:val="21"/>
              </w:rPr>
            </w:pPr>
            <w:r>
              <w:rPr>
                <w:szCs w:val="21"/>
                <w:lang w:val="en"/>
              </w:rPr>
              <w:t>3</w:t>
            </w:r>
          </w:p>
        </w:tc>
        <w:tc>
          <w:tcPr>
            <w:tcW w:w="13107" w:type="dxa"/>
            <w:vAlign w:val="center"/>
          </w:tcPr>
          <w:p>
            <w:pPr>
              <w:snapToGrid w:val="0"/>
              <w:spacing w:line="288" w:lineRule="auto"/>
              <w:ind w:right="25" w:rightChars="12"/>
              <w:jc w:val="left"/>
              <w:rPr>
                <w:szCs w:val="21"/>
              </w:rPr>
            </w:pPr>
            <w:r>
              <w:rPr>
                <w:b/>
                <w:bCs/>
                <w:szCs w:val="21"/>
                <w:lang w:val="en"/>
              </w:rPr>
              <w:t>Collaborating Institutions and Researchers:</w:t>
            </w:r>
            <w:r>
              <w:rPr>
                <w:szCs w:val="21"/>
                <w:lang w:val="en"/>
              </w:rPr>
              <w:t xml:space="preserve"> The </w:t>
            </w:r>
            <w:r>
              <w:rPr>
                <w:rFonts w:hint="eastAsia"/>
                <w:szCs w:val="21"/>
                <w:lang w:val="en"/>
              </w:rPr>
              <w:t xml:space="preserve">core members of the </w:t>
            </w:r>
            <w:r>
              <w:rPr>
                <w:szCs w:val="21"/>
                <w:lang w:val="en"/>
              </w:rPr>
              <w:t xml:space="preserve">project (including the Project Leader) </w:t>
            </w:r>
            <w:r>
              <w:rPr>
                <w:rFonts w:hint="eastAsia"/>
                <w:szCs w:val="21"/>
                <w:lang w:val="en"/>
              </w:rPr>
              <w:t xml:space="preserve">shall be </w:t>
            </w:r>
            <w:r>
              <w:rPr>
                <w:szCs w:val="21"/>
                <w:lang w:val="en"/>
              </w:rPr>
              <w:t xml:space="preserve">no more than five </w:t>
            </w:r>
            <w:r>
              <w:rPr>
                <w:rFonts w:hint="eastAsia"/>
                <w:szCs w:val="21"/>
                <w:lang w:val="en"/>
              </w:rPr>
              <w:t>person</w:t>
            </w:r>
            <w:r>
              <w:rPr>
                <w:szCs w:val="21"/>
                <w:lang w:val="en"/>
              </w:rPr>
              <w:t>s (students are excluded but may be included in the basic information section for statistical purposes). If a team member’s organization is not the applicant organization, it is considered a collaborating institution, and the individual is deemed a collaborating researcher. Collaborating institutions and their researchers shall meet the following criteria:</w:t>
            </w:r>
          </w:p>
          <w:p>
            <w:pPr>
              <w:snapToGrid w:val="0"/>
              <w:spacing w:line="288" w:lineRule="auto"/>
              <w:ind w:right="25" w:rightChars="12" w:firstLine="420" w:firstLineChars="200"/>
              <w:jc w:val="left"/>
              <w:rPr>
                <w:szCs w:val="21"/>
              </w:rPr>
            </w:pPr>
            <w:r>
              <w:rPr>
                <w:szCs w:val="21"/>
                <w:lang w:val="en"/>
              </w:rPr>
              <w:t>1. Collaborating institutions shall have independent legal status, limited to one organization; the number of collaborating researchers shall not exceed that of the applicant organization.</w:t>
            </w:r>
          </w:p>
          <w:p>
            <w:pPr>
              <w:snapToGrid w:val="0"/>
              <w:spacing w:line="288" w:lineRule="auto"/>
              <w:ind w:right="25" w:rightChars="12" w:firstLine="420" w:firstLineChars="200"/>
              <w:jc w:val="left"/>
              <w:rPr>
                <w:szCs w:val="21"/>
              </w:rPr>
            </w:pPr>
            <w:r>
              <w:rPr>
                <w:szCs w:val="21"/>
                <w:lang w:val="en"/>
              </w:rPr>
              <w:t>2. The application shall include the name of the collaborating institution and a signed cooperation agreement outlining main responsibilities, funding allocation, and intellectual property ownership (foreign partners are not eligible for fiscal funding). The applicant organization shall undertake the majority of R&amp;D tasks, and the allocated fiscal funding shall be greater than that of the collaborating institution.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0" w:type="dxa"/>
            <w:vAlign w:val="center"/>
          </w:tcPr>
          <w:p>
            <w:pPr>
              <w:spacing w:line="288" w:lineRule="auto"/>
              <w:ind w:right="25" w:rightChars="12"/>
              <w:jc w:val="center"/>
              <w:rPr>
                <w:szCs w:val="21"/>
              </w:rPr>
            </w:pPr>
            <w:r>
              <w:rPr>
                <w:szCs w:val="21"/>
                <w:lang w:val="en"/>
              </w:rPr>
              <w:t>4</w:t>
            </w:r>
          </w:p>
        </w:tc>
        <w:tc>
          <w:tcPr>
            <w:tcW w:w="13107" w:type="dxa"/>
            <w:vAlign w:val="center"/>
          </w:tcPr>
          <w:p>
            <w:pPr>
              <w:snapToGrid w:val="0"/>
              <w:spacing w:line="288" w:lineRule="auto"/>
              <w:ind w:right="25" w:rightChars="12"/>
              <w:jc w:val="left"/>
              <w:rPr>
                <w:spacing w:val="-2"/>
                <w:szCs w:val="21"/>
              </w:rPr>
            </w:pPr>
            <w:r>
              <w:rPr>
                <w:b/>
                <w:bCs/>
                <w:szCs w:val="21"/>
                <w:lang w:val="en"/>
              </w:rPr>
              <w:t>Where the applicant or collaborating institution is an enterprise,</w:t>
            </w:r>
            <w:r>
              <w:rPr>
                <w:szCs w:val="21"/>
                <w:lang w:val="en"/>
              </w:rPr>
              <w:t xml:space="preserve"> it shall submit a Letter of Commitment for Self-Raised Funds, undertaking to provide self-raised funding no less than the amount of municipal financial support allocated to the enterprise for this project.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10" w:type="dxa"/>
            <w:vAlign w:val="center"/>
          </w:tcPr>
          <w:p>
            <w:pPr>
              <w:spacing w:line="288" w:lineRule="auto"/>
              <w:ind w:right="25" w:rightChars="12"/>
              <w:jc w:val="center"/>
              <w:rPr>
                <w:szCs w:val="21"/>
              </w:rPr>
            </w:pPr>
            <w:r>
              <w:rPr>
                <w:szCs w:val="21"/>
                <w:lang w:val="en"/>
              </w:rPr>
              <w:t>5</w:t>
            </w:r>
          </w:p>
        </w:tc>
        <w:tc>
          <w:tcPr>
            <w:tcW w:w="13107" w:type="dxa"/>
            <w:vAlign w:val="center"/>
          </w:tcPr>
          <w:p>
            <w:pPr>
              <w:snapToGrid w:val="0"/>
              <w:spacing w:line="288" w:lineRule="auto"/>
              <w:ind w:right="25" w:rightChars="12"/>
              <w:jc w:val="left"/>
              <w:rPr>
                <w:szCs w:val="21"/>
                <w:lang w:val="en"/>
              </w:rPr>
            </w:pPr>
            <w:r>
              <w:rPr>
                <w:b/>
                <w:bCs/>
                <w:szCs w:val="21"/>
                <w:lang w:val="en-US"/>
              </w:rPr>
              <w:t>Scientific Integrity, Ethics, and Safety Requirements</w:t>
            </w:r>
            <w:r>
              <w:rPr>
                <w:b w:val="0"/>
                <w:bCs w:val="0"/>
                <w:szCs w:val="21"/>
                <w:lang w:val="en-US"/>
              </w:rPr>
              <w:t>:</w:t>
            </w:r>
            <w:r>
              <w:rPr>
                <w:szCs w:val="21"/>
                <w:lang w:val="en-US"/>
              </w:rPr>
              <w:t xml:space="preserve"> </w:t>
            </w:r>
            <w:r>
              <w:rPr>
                <w:szCs w:val="21"/>
              </w:rPr>
              <w:t>The applicant institution, collaborating institution, project leader and core members of the project team shall not be subject to any punishment restricting the application for fiscal-funded projects, nor shall they be included in the list of overdue projects without acceptance application or the list of overdue projects without fund refund. The project leader and core members of the project team shall not be included in the list of projects with failed acceptance.</w:t>
            </w:r>
          </w:p>
          <w:p>
            <w:pPr>
              <w:pStyle w:val="2"/>
              <w:adjustRightInd w:val="0"/>
              <w:snapToGrid w:val="0"/>
              <w:spacing w:before="0" w:after="0" w:line="288" w:lineRule="auto"/>
              <w:rPr>
                <w:rFonts w:hint="eastAsia"/>
                <w:b w:val="0"/>
                <w:bCs w:val="0"/>
                <w:spacing w:val="-2"/>
                <w:kern w:val="2"/>
                <w:sz w:val="21"/>
                <w:szCs w:val="21"/>
              </w:rPr>
            </w:pPr>
            <w:r>
              <w:rPr>
                <w:b w:val="0"/>
                <w:bCs w:val="0"/>
                <w:kern w:val="2"/>
                <w:sz w:val="21"/>
                <w:szCs w:val="21"/>
                <w:lang w:val="en"/>
              </w:rPr>
              <w:t>Where the research content of the project involves scientific and technologic</w:t>
            </w:r>
            <w:r>
              <w:rPr>
                <w:b w:val="0"/>
                <w:bCs w:val="0"/>
                <w:kern w:val="2"/>
                <w:sz w:val="21"/>
                <w:szCs w:val="21"/>
              </w:rPr>
              <w:t>al ethics and security (such as biological safety, information security, etc.), it shall comply with the requirements of relevant policies and regulations including the Measures for the Review of Science and Technology Ethics (for Trial Implementation), the Measures for the Ethical Review of Life Science and Medical Research Involving Human Subjects (National Health Commission, Science, Education and Culture Fa〔2023〕No. 4), and the Measures for the Ethical Review and Service of Artificial Intelligence Science and Technology (for Trial Implementation). A certificate of ethical review issued by the ethics committee of the institution or entrusted organization shall be provided.</w:t>
            </w:r>
            <w:r>
              <w:rPr>
                <w:rFonts w:hint="eastAsia"/>
                <w:b w:val="0"/>
                <w:bCs w:val="0"/>
                <w:kern w:val="2"/>
                <w:sz w:val="21"/>
                <w:szCs w:val="21"/>
              </w:rPr>
              <w:t xml:space="preserve"> (</w:t>
            </w:r>
            <w:r>
              <w:rPr>
                <w:b w:val="0"/>
                <w:bCs w:val="0"/>
                <w:kern w:val="2"/>
                <w:sz w:val="21"/>
                <w:szCs w:val="21"/>
              </w:rPr>
              <w:t>Shenzhen Regional Science and Technology Ethics Service Platform assists in conducting ethical reviews.</w:t>
            </w:r>
            <w:r>
              <w:rPr>
                <w:rFonts w:hint="eastAsia"/>
                <w:b w:val="0"/>
                <w:bCs w:val="0"/>
                <w:kern w:val="2"/>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pPr>
              <w:spacing w:line="288" w:lineRule="auto"/>
              <w:ind w:right="25" w:rightChars="12"/>
              <w:jc w:val="center"/>
              <w:rPr>
                <w:szCs w:val="21"/>
              </w:rPr>
            </w:pPr>
            <w:r>
              <w:rPr>
                <w:szCs w:val="21"/>
                <w:lang w:val="en"/>
              </w:rPr>
              <w:t>6</w:t>
            </w:r>
          </w:p>
        </w:tc>
        <w:tc>
          <w:tcPr>
            <w:tcW w:w="13107" w:type="dxa"/>
            <w:vAlign w:val="center"/>
          </w:tcPr>
          <w:p>
            <w:pPr>
              <w:snapToGrid w:val="0"/>
              <w:spacing w:line="288" w:lineRule="auto"/>
              <w:ind w:right="25" w:rightChars="12"/>
              <w:jc w:val="left"/>
              <w:rPr>
                <w:spacing w:val="-2"/>
                <w:szCs w:val="21"/>
              </w:rPr>
            </w:pPr>
            <w:r>
              <w:rPr>
                <w:rFonts w:hint="eastAsia"/>
                <w:spacing w:val="-2"/>
                <w:szCs w:val="21"/>
              </w:rPr>
              <w:t>Concurrent applications or repeated applications are not allowed for the same program.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810" w:type="dxa"/>
            <w:vAlign w:val="center"/>
          </w:tcPr>
          <w:p>
            <w:pPr>
              <w:spacing w:line="288" w:lineRule="auto"/>
              <w:ind w:right="25" w:rightChars="12"/>
              <w:jc w:val="center"/>
              <w:rPr>
                <w:szCs w:val="21"/>
              </w:rPr>
            </w:pPr>
            <w:r>
              <w:rPr>
                <w:szCs w:val="21"/>
                <w:lang w:val="en"/>
              </w:rPr>
              <w:t>7</w:t>
            </w:r>
          </w:p>
        </w:tc>
        <w:tc>
          <w:tcPr>
            <w:tcW w:w="13107" w:type="dxa"/>
            <w:vAlign w:val="center"/>
          </w:tcPr>
          <w:p>
            <w:pPr>
              <w:adjustRightInd w:val="0"/>
              <w:snapToGrid w:val="0"/>
              <w:spacing w:line="288" w:lineRule="auto"/>
              <w:ind w:right="25" w:rightChars="12"/>
              <w:jc w:val="left"/>
              <w:rPr>
                <w:b/>
                <w:bCs/>
                <w:szCs w:val="21"/>
                <w:lang w:val="en"/>
              </w:rPr>
            </w:pPr>
            <w:r>
              <w:rPr>
                <w:b/>
                <w:bCs/>
                <w:szCs w:val="21"/>
                <w:lang w:val="en"/>
              </w:rPr>
              <w:t xml:space="preserve">Application Quota Rules: </w:t>
            </w:r>
          </w:p>
          <w:p>
            <w:pPr>
              <w:pStyle w:val="17"/>
              <w:numPr>
                <w:ilvl w:val="0"/>
                <w:numId w:val="1"/>
              </w:numPr>
              <w:adjustRightInd w:val="0"/>
              <w:snapToGrid w:val="0"/>
              <w:spacing w:line="288" w:lineRule="auto"/>
              <w:ind w:right="25" w:rightChars="12" w:firstLineChars="0"/>
              <w:jc w:val="left"/>
              <w:rPr>
                <w:szCs w:val="21"/>
                <w:lang w:val="en"/>
              </w:rPr>
            </w:pPr>
            <w:r>
              <w:rPr>
                <w:szCs w:val="21"/>
                <w:lang w:val="en"/>
              </w:rPr>
              <w:t>Full-time personnel from non-enterprise institutions.</w:t>
            </w:r>
          </w:p>
          <w:p>
            <w:pPr>
              <w:adjustRightInd w:val="0"/>
              <w:snapToGrid w:val="0"/>
              <w:spacing w:line="288" w:lineRule="auto"/>
              <w:ind w:right="25" w:rightChars="12" w:firstLine="210" w:firstLineChars="100"/>
              <w:jc w:val="left"/>
              <w:rPr>
                <w:color w:val="000000"/>
                <w:szCs w:val="21"/>
                <w:lang w:val="en"/>
              </w:rPr>
            </w:pPr>
            <w:r>
              <w:rPr>
                <w:rFonts w:hint="eastAsia" w:ascii="Cambria Math" w:hAnsi="Cambria Math" w:cs="Cambria Math"/>
                <w:szCs w:val="21"/>
                <w:lang w:val="en"/>
              </w:rPr>
              <w:t xml:space="preserve">① </w:t>
            </w:r>
            <w:r>
              <w:rPr>
                <w:rFonts w:hint="eastAsia"/>
                <w:color w:val="000000"/>
                <w:sz w:val="32"/>
                <w:szCs w:val="21"/>
                <w:lang w:val="en"/>
              </w:rPr>
              <w:t xml:space="preserve">As a project leader, only one </w:t>
            </w:r>
            <w:r>
              <w:rPr>
                <w:rFonts w:hint="eastAsia"/>
                <w:color w:val="000000"/>
                <w:szCs w:val="21"/>
                <w:lang w:val="en"/>
              </w:rPr>
              <w:t>Natural Science F</w:t>
            </w:r>
            <w:r>
              <w:rPr>
                <w:rFonts w:hint="eastAsia"/>
                <w:szCs w:val="21"/>
                <w:lang w:val="en"/>
              </w:rPr>
              <w:t>o</w:t>
            </w:r>
            <w:r>
              <w:rPr>
                <w:rFonts w:hint="eastAsia"/>
                <w:color w:val="000000"/>
                <w:szCs w:val="21"/>
                <w:lang w:val="en"/>
              </w:rPr>
              <w:t>undation</w:t>
            </w:r>
            <w:r>
              <w:rPr>
                <w:rFonts w:hint="eastAsia"/>
                <w:color w:val="000000"/>
                <w:sz w:val="32"/>
                <w:szCs w:val="21"/>
                <w:lang w:val="en"/>
              </w:rPr>
              <w:t xml:space="preserve"> </w:t>
            </w:r>
            <w:r>
              <w:rPr>
                <w:rFonts w:hint="eastAsia"/>
                <w:color w:val="000000"/>
                <w:szCs w:val="21"/>
                <w:lang w:val="en"/>
              </w:rPr>
              <w:t>Program</w:t>
            </w:r>
            <w:r>
              <w:rPr>
                <w:rFonts w:hint="eastAsia"/>
                <w:color w:val="000000"/>
                <w:sz w:val="32"/>
                <w:szCs w:val="21"/>
                <w:lang w:val="en"/>
              </w:rPr>
              <w:t xml:space="preserve"> (</w:t>
            </w:r>
            <w:r>
              <w:rPr>
                <w:rFonts w:hint="eastAsia"/>
                <w:color w:val="000000"/>
                <w:szCs w:val="21"/>
                <w:lang w:val="en"/>
              </w:rPr>
              <w:t xml:space="preserve">including </w:t>
            </w:r>
            <w:r>
              <w:rPr>
                <w:rFonts w:hint="eastAsia"/>
                <w:color w:val="000000"/>
                <w:sz w:val="32"/>
                <w:szCs w:val="21"/>
                <w:lang w:val="en"/>
              </w:rPr>
              <w:t>General Program, Key Program, Major Program, Shenzhen-Hong Kong Joint Fun</w:t>
            </w:r>
            <w:r>
              <w:rPr>
                <w:rFonts w:hint="eastAsia"/>
                <w:color w:val="000000"/>
                <w:szCs w:val="21"/>
                <w:lang w:val="en"/>
              </w:rPr>
              <w:t>d</w:t>
            </w:r>
            <w:r>
              <w:rPr>
                <w:rFonts w:hint="eastAsia"/>
                <w:color w:val="000000"/>
                <w:sz w:val="32"/>
                <w:szCs w:val="21"/>
                <w:lang w:val="en"/>
              </w:rPr>
              <w:t xml:space="preserve"> Category A, Yo</w:t>
            </w:r>
            <w:r>
              <w:rPr>
                <w:rFonts w:hint="eastAsia"/>
                <w:color w:val="000000"/>
                <w:szCs w:val="21"/>
                <w:lang w:val="en"/>
              </w:rPr>
              <w:t>ung Scientists</w:t>
            </w:r>
            <w:r>
              <w:rPr>
                <w:rFonts w:hint="eastAsia"/>
                <w:color w:val="000000"/>
                <w:sz w:val="32"/>
                <w:szCs w:val="21"/>
                <w:lang w:val="en"/>
              </w:rPr>
              <w:t xml:space="preserve"> </w:t>
            </w:r>
            <w:r>
              <w:rPr>
                <w:rFonts w:hint="eastAsia"/>
                <w:color w:val="000000"/>
                <w:szCs w:val="21"/>
                <w:lang w:val="en"/>
              </w:rPr>
              <w:t>Fund</w:t>
            </w:r>
            <w:r>
              <w:rPr>
                <w:rFonts w:hint="eastAsia"/>
                <w:color w:val="000000"/>
                <w:sz w:val="32"/>
                <w:szCs w:val="21"/>
                <w:lang w:val="en"/>
              </w:rPr>
              <w:t xml:space="preserve"> Categories A, B, C)</w:t>
            </w:r>
            <w:r>
              <w:rPr>
                <w:rFonts w:hint="eastAsia"/>
                <w:color w:val="000000"/>
                <w:szCs w:val="21"/>
                <w:lang w:val="en"/>
              </w:rPr>
              <w:t xml:space="preserve"> project</w:t>
            </w:r>
            <w:r>
              <w:rPr>
                <w:rFonts w:hint="eastAsia"/>
                <w:color w:val="000000"/>
                <w:sz w:val="32"/>
                <w:szCs w:val="21"/>
                <w:lang w:val="en"/>
              </w:rPr>
              <w:t xml:space="preserve"> can be applied in the same year;</w:t>
            </w:r>
          </w:p>
          <w:p>
            <w:pPr>
              <w:adjustRightInd w:val="0"/>
              <w:snapToGrid w:val="0"/>
              <w:spacing w:line="288" w:lineRule="auto"/>
              <w:ind w:right="25" w:rightChars="12" w:firstLine="210" w:firstLineChars="100"/>
              <w:jc w:val="left"/>
              <w:rPr>
                <w:rFonts w:hint="eastAsia"/>
                <w:color w:val="000000"/>
                <w:szCs w:val="21"/>
                <w:lang w:val="en"/>
              </w:rPr>
            </w:pPr>
            <w:r>
              <w:rPr>
                <w:rFonts w:hint="eastAsia" w:ascii="Cambria Math" w:hAnsi="Cambria Math" w:cs="Cambria Math"/>
                <w:szCs w:val="21"/>
                <w:lang w:val="en"/>
              </w:rPr>
              <w:t xml:space="preserve">② </w:t>
            </w:r>
            <w:r>
              <w:rPr>
                <w:rFonts w:hint="eastAsia"/>
                <w:color w:val="000000"/>
                <w:szCs w:val="21"/>
                <w:lang w:val="en"/>
              </w:rPr>
              <w:t>If the project applied in the previous year has been funded, the leader shall not apply for the same type of project as the leader in the current year;</w:t>
            </w:r>
          </w:p>
          <w:p>
            <w:pPr>
              <w:adjustRightInd w:val="0"/>
              <w:snapToGrid w:val="0"/>
              <w:spacing w:line="288" w:lineRule="auto"/>
              <w:ind w:right="25" w:rightChars="12" w:firstLine="210" w:firstLineChars="100"/>
              <w:jc w:val="left"/>
              <w:rPr>
                <w:color w:val="000000"/>
                <w:szCs w:val="21"/>
                <w:lang w:val="en"/>
              </w:rPr>
            </w:pPr>
            <w:r>
              <w:rPr>
                <w:rFonts w:hint="eastAsia" w:ascii="Cambria Math" w:hAnsi="Cambria Math" w:cs="Cambria Math"/>
                <w:szCs w:val="21"/>
                <w:lang w:val="en"/>
              </w:rPr>
              <w:t xml:space="preserve">③ </w:t>
            </w:r>
            <w:r>
              <w:rPr>
                <w:rFonts w:hint="eastAsia"/>
                <w:color w:val="000000"/>
                <w:sz w:val="32"/>
                <w:szCs w:val="21"/>
                <w:lang w:val="en"/>
              </w:rPr>
              <w:t>The total number of municipal</w:t>
            </w:r>
            <w:r>
              <w:rPr>
                <w:rFonts w:hint="eastAsia"/>
                <w:color w:val="000000"/>
                <w:szCs w:val="21"/>
                <w:lang w:val="en"/>
              </w:rPr>
              <w:t xml:space="preserve"> level</w:t>
            </w:r>
            <w:r>
              <w:rPr>
                <w:rFonts w:hint="eastAsia"/>
                <w:color w:val="000000"/>
                <w:sz w:val="32"/>
                <w:szCs w:val="21"/>
                <w:lang w:val="en"/>
              </w:rPr>
              <w:t xml:space="preserve"> </w:t>
            </w:r>
            <w:r>
              <w:rPr>
                <w:rFonts w:hint="eastAsia"/>
                <w:color w:val="000000"/>
                <w:szCs w:val="21"/>
                <w:lang w:val="en"/>
              </w:rPr>
              <w:t>science and technology</w:t>
            </w:r>
            <w:r>
              <w:rPr>
                <w:rFonts w:hint="eastAsia"/>
                <w:color w:val="000000"/>
                <w:sz w:val="32"/>
                <w:szCs w:val="21"/>
                <w:lang w:val="en"/>
              </w:rPr>
              <w:t xml:space="preserve"> projects applied for and undertaken (</w:t>
            </w:r>
            <w:r>
              <w:rPr>
                <w:rFonts w:eastAsia="微软雅黑"/>
                <w:szCs w:val="21"/>
                <w:lang w:val="en"/>
              </w:rPr>
              <w:t>excluding platform</w:t>
            </w:r>
            <w:r>
              <w:rPr>
                <w:rFonts w:hint="eastAsia" w:eastAsia="微软雅黑"/>
                <w:szCs w:val="21"/>
                <w:lang w:val="en"/>
              </w:rPr>
              <w:t xml:space="preserve"> and</w:t>
            </w:r>
            <w:r>
              <w:rPr>
                <w:rFonts w:eastAsia="微软雅黑"/>
                <w:szCs w:val="21"/>
                <w:lang w:val="en"/>
              </w:rPr>
              <w:t xml:space="preserve"> carrier</w:t>
            </w:r>
            <w:r>
              <w:rPr>
                <w:rFonts w:hint="eastAsia" w:eastAsia="微软雅黑"/>
                <w:szCs w:val="21"/>
                <w:lang w:val="en"/>
              </w:rPr>
              <w:t xml:space="preserve"> projects</w:t>
            </w:r>
            <w:r>
              <w:rPr>
                <w:rFonts w:eastAsia="微软雅黑"/>
                <w:szCs w:val="21"/>
                <w:lang w:val="en"/>
              </w:rPr>
              <w:t xml:space="preserve">, post-subsidy </w:t>
            </w:r>
            <w:r>
              <w:rPr>
                <w:rFonts w:hint="eastAsia" w:eastAsia="微软雅黑"/>
                <w:szCs w:val="21"/>
                <w:lang w:val="en"/>
              </w:rPr>
              <w:t>project</w:t>
            </w:r>
            <w:r>
              <w:rPr>
                <w:rFonts w:eastAsia="微软雅黑"/>
                <w:szCs w:val="21"/>
                <w:lang w:val="en"/>
              </w:rPr>
              <w:t xml:space="preserve">s, and </w:t>
            </w:r>
            <w:r>
              <w:rPr>
                <w:rFonts w:hint="eastAsia" w:eastAsia="微软雅黑"/>
                <w:szCs w:val="21"/>
                <w:lang w:val="en"/>
              </w:rPr>
              <w:t xml:space="preserve">the </w:t>
            </w:r>
            <w:r>
              <w:rPr>
                <w:rFonts w:eastAsia="微软雅黑"/>
                <w:szCs w:val="21"/>
                <w:lang w:val="en"/>
              </w:rPr>
              <w:t xml:space="preserve">projects </w:t>
            </w:r>
            <w:r>
              <w:rPr>
                <w:rFonts w:hint="eastAsia" w:eastAsia="微软雅黑"/>
                <w:szCs w:val="21"/>
                <w:lang w:val="en"/>
              </w:rPr>
              <w:t>whose completion reports have been accepted</w:t>
            </w:r>
            <w:r>
              <w:rPr>
                <w:rFonts w:hint="eastAsia"/>
                <w:color w:val="000000"/>
                <w:sz w:val="32"/>
                <w:szCs w:val="21"/>
                <w:lang w:val="en"/>
              </w:rPr>
              <w:t>) shall not exceed 3. Youth</w:t>
            </w:r>
            <w:r>
              <w:rPr>
                <w:rFonts w:hint="eastAsia"/>
                <w:color w:val="000000"/>
                <w:szCs w:val="21"/>
                <w:lang w:val="en"/>
              </w:rPr>
              <w:t xml:space="preserve"> Program</w:t>
            </w:r>
            <w:r>
              <w:rPr>
                <w:rFonts w:hint="eastAsia"/>
                <w:color w:val="000000"/>
                <w:sz w:val="32"/>
                <w:szCs w:val="21"/>
                <w:lang w:val="en"/>
              </w:rPr>
              <w:t xml:space="preserve"> applications are not counted before formal </w:t>
            </w:r>
            <w:r>
              <w:rPr>
                <w:rFonts w:hint="eastAsia"/>
                <w:color w:val="000000"/>
                <w:szCs w:val="21"/>
                <w:lang w:val="en"/>
              </w:rPr>
              <w:t>approval</w:t>
            </w:r>
            <w:r>
              <w:rPr>
                <w:rFonts w:hint="eastAsia"/>
                <w:color w:val="000000"/>
                <w:sz w:val="32"/>
                <w:szCs w:val="21"/>
                <w:lang w:val="en"/>
              </w:rPr>
              <w:t>.</w:t>
            </w:r>
          </w:p>
          <w:p>
            <w:pPr>
              <w:adjustRightInd w:val="0"/>
              <w:snapToGrid w:val="0"/>
              <w:spacing w:line="288" w:lineRule="auto"/>
              <w:ind w:right="0" w:rightChars="0" w:firstLine="210" w:firstLineChars="100"/>
              <w:jc w:val="both"/>
              <w:outlineLvl w:val="3"/>
              <w:rPr>
                <w:szCs w:val="21"/>
                <w:lang w:val="en"/>
              </w:rPr>
            </w:pPr>
            <w:r>
              <w:rPr>
                <w:szCs w:val="21"/>
                <w:lang w:val="en"/>
              </w:rPr>
              <w:t>2.</w:t>
            </w:r>
            <w:r>
              <w:rPr>
                <w:szCs w:val="21"/>
                <w:lang w:val="en"/>
              </w:rPr>
              <w:tab/>
            </w:r>
            <w:r>
              <w:rPr>
                <w:szCs w:val="21"/>
                <w:lang w:val="en"/>
              </w:rPr>
              <w:t>Full-time personnel of enterprise institutions.</w:t>
            </w:r>
          </w:p>
          <w:p>
            <w:pPr>
              <w:adjustRightInd w:val="0"/>
              <w:snapToGrid w:val="0"/>
              <w:spacing w:line="288" w:lineRule="auto"/>
              <w:ind w:right="25" w:rightChars="12" w:firstLine="210" w:firstLineChars="100"/>
              <w:jc w:val="left"/>
              <w:rPr>
                <w:szCs w:val="21"/>
                <w:lang w:val="en"/>
              </w:rPr>
            </w:pPr>
            <w:r>
              <w:rPr>
                <w:rFonts w:hint="eastAsia" w:ascii="Cambria Math" w:hAnsi="Cambria Math" w:cs="Cambria Math"/>
                <w:szCs w:val="21"/>
                <w:lang w:val="en"/>
              </w:rPr>
              <w:t xml:space="preserve">① </w:t>
            </w:r>
            <w:r>
              <w:rPr>
                <w:szCs w:val="21"/>
                <w:lang w:val="en"/>
              </w:rPr>
              <w:t>The enterprise may apply for only one Natural Science F</w:t>
            </w:r>
            <w:r>
              <w:rPr>
                <w:rFonts w:hint="eastAsia"/>
                <w:szCs w:val="21"/>
                <w:lang w:val="en"/>
              </w:rPr>
              <w:t>o</w:t>
            </w:r>
            <w:r>
              <w:rPr>
                <w:szCs w:val="21"/>
                <w:lang w:val="en"/>
              </w:rPr>
              <w:t>undation Program (including General Program, Key Program, Major Program, Shenzhen-Hong Kong Joint Fund Category A, Young Scientist Fund Categories A, B, C) project per year;</w:t>
            </w:r>
          </w:p>
          <w:p>
            <w:pPr>
              <w:adjustRightInd w:val="0"/>
              <w:snapToGrid w:val="0"/>
              <w:spacing w:line="288" w:lineRule="auto"/>
              <w:ind w:right="25" w:rightChars="12" w:firstLine="210" w:firstLineChars="100"/>
              <w:jc w:val="left"/>
              <w:rPr>
                <w:szCs w:val="21"/>
                <w:lang w:val="en"/>
              </w:rPr>
            </w:pPr>
            <w:r>
              <w:rPr>
                <w:rFonts w:hint="eastAsia" w:ascii="Cambria Math" w:hAnsi="Cambria Math" w:cs="Cambria Math"/>
                <w:szCs w:val="21"/>
                <w:lang w:val="en"/>
              </w:rPr>
              <w:t xml:space="preserve">② </w:t>
            </w:r>
            <w:r>
              <w:rPr>
                <w:szCs w:val="21"/>
                <w:lang w:val="en"/>
              </w:rPr>
              <w:t>The total number of municipal level science and technology projects applied for and undertaken (excluding platform and carrier projects, post-subsidy projects, and the projects whose completion reports have been accepted) shall not exceed 3.</w:t>
            </w:r>
          </w:p>
          <w:p>
            <w:pPr>
              <w:adjustRightInd w:val="0"/>
              <w:snapToGrid w:val="0"/>
              <w:spacing w:line="288" w:lineRule="auto"/>
              <w:ind w:right="25" w:rightChars="12" w:firstLine="210" w:firstLineChars="100"/>
              <w:jc w:val="left"/>
              <w:rPr>
                <w:spacing w:val="-2"/>
                <w:szCs w:val="21"/>
              </w:rPr>
            </w:pPr>
            <w:r>
              <w:rPr>
                <w:rFonts w:hint="eastAsia"/>
                <w:szCs w:val="21"/>
                <w:lang w:val="en"/>
              </w:rPr>
              <w:t xml:space="preserve">3. </w:t>
            </w:r>
            <w:r>
              <w:rPr>
                <w:szCs w:val="21"/>
                <w:lang w:val="en"/>
              </w:rPr>
              <w:t>The research content of the proposal should not be the same as that of the proposal that has been funded through other channels or programs (e.g., national, provincial, or Shenzhen municipal science and technology projects or Shenzhen Natural Science Foundation projects or Shenzhen Medical Research Fund projects). The research content of the proposal should not be the same or similar as that of the proposal that has been submitted through another channel and is being reviewed, especially the proposals that have been submitted to Shenzhen Medical Research Fund.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pPr>
              <w:spacing w:line="288" w:lineRule="auto"/>
              <w:ind w:right="25" w:rightChars="12"/>
              <w:jc w:val="center"/>
              <w:rPr>
                <w:szCs w:val="21"/>
              </w:rPr>
            </w:pPr>
            <w:r>
              <w:rPr>
                <w:szCs w:val="21"/>
                <w:lang w:val="en"/>
              </w:rPr>
              <w:t>8</w:t>
            </w:r>
          </w:p>
        </w:tc>
        <w:tc>
          <w:tcPr>
            <w:tcW w:w="13107" w:type="dxa"/>
            <w:vAlign w:val="center"/>
          </w:tcPr>
          <w:p>
            <w:pPr>
              <w:snapToGrid w:val="0"/>
              <w:spacing w:line="288" w:lineRule="auto"/>
              <w:ind w:right="25" w:rightChars="12"/>
              <w:jc w:val="left"/>
              <w:rPr>
                <w:szCs w:val="21"/>
              </w:rPr>
            </w:pPr>
            <w:r>
              <w:rPr>
                <w:b/>
                <w:bCs/>
                <w:szCs w:val="21"/>
                <w:lang w:val="en"/>
              </w:rPr>
              <w:t xml:space="preserve">Application Materials: </w:t>
            </w:r>
            <w:r>
              <w:rPr>
                <w:szCs w:val="21"/>
                <w:lang w:val="en"/>
              </w:rPr>
              <w:t>The required attachment materials for the application project shall be complete and legally compliant.</w:t>
            </w:r>
          </w:p>
          <w:p>
            <w:pPr>
              <w:snapToGrid w:val="0"/>
              <w:spacing w:line="288" w:lineRule="auto"/>
              <w:ind w:right="25" w:rightChars="12"/>
              <w:jc w:val="left"/>
              <w:rPr>
                <w:szCs w:val="21"/>
              </w:rPr>
            </w:pPr>
            <w:r>
              <w:rPr>
                <w:szCs w:val="21"/>
                <w:lang w:val="en"/>
              </w:rPr>
              <w:t>(</w:t>
            </w:r>
            <w:r>
              <w:rPr>
                <w:rFonts w:hint="eastAsia"/>
                <w:szCs w:val="21"/>
                <w:lang w:val="en"/>
              </w:rPr>
              <w:t>I</w:t>
            </w:r>
            <w:r>
              <w:rPr>
                <w:szCs w:val="21"/>
                <w:lang w:val="en"/>
              </w:rPr>
              <w:t>) Copy of the 202</w:t>
            </w:r>
            <w:r>
              <w:rPr>
                <w:rFonts w:hint="eastAsia"/>
                <w:szCs w:val="21"/>
                <w:lang w:val="en"/>
              </w:rPr>
              <w:t>5</w:t>
            </w:r>
            <w:r>
              <w:rPr>
                <w:szCs w:val="21"/>
                <w:lang w:val="en"/>
              </w:rPr>
              <w:t xml:space="preserve"> tax payment certificate and the previous year’s audit report (with a QR-coded cover page filed via the unified regulatory platform for certified public accountants; not applicable to public institutions). If the 202</w:t>
            </w:r>
            <w:r>
              <w:rPr>
                <w:rFonts w:hint="eastAsia"/>
                <w:szCs w:val="21"/>
                <w:lang w:val="en"/>
              </w:rPr>
              <w:t>5</w:t>
            </w:r>
            <w:r>
              <w:rPr>
                <w:szCs w:val="21"/>
                <w:lang w:val="en"/>
              </w:rPr>
              <w:t xml:space="preserve"> audit report is not completed, a copy of the 202</w:t>
            </w:r>
            <w:r>
              <w:rPr>
                <w:rFonts w:hint="eastAsia"/>
                <w:szCs w:val="21"/>
                <w:lang w:val="en"/>
              </w:rPr>
              <w:t>4</w:t>
            </w:r>
            <w:r>
              <w:rPr>
                <w:szCs w:val="21"/>
                <w:lang w:val="en"/>
              </w:rPr>
              <w:t xml:space="preserve"> audit report shall be submitted.</w:t>
            </w:r>
          </w:p>
          <w:p>
            <w:pPr>
              <w:snapToGrid w:val="0"/>
              <w:spacing w:line="288" w:lineRule="auto"/>
              <w:ind w:right="25" w:rightChars="12"/>
              <w:jc w:val="left"/>
              <w:rPr>
                <w:szCs w:val="21"/>
              </w:rPr>
            </w:pPr>
            <w:r>
              <w:rPr>
                <w:szCs w:val="21"/>
                <w:lang w:val="en"/>
              </w:rPr>
              <w:t>(</w:t>
            </w:r>
            <w:r>
              <w:rPr>
                <w:rFonts w:hint="eastAsia"/>
                <w:szCs w:val="21"/>
                <w:lang w:val="en"/>
              </w:rPr>
              <w:t>II</w:t>
            </w:r>
            <w:r>
              <w:rPr>
                <w:szCs w:val="21"/>
                <w:lang w:val="en"/>
              </w:rPr>
              <w:t>) Origin of commitment letter.</w:t>
            </w:r>
          </w:p>
          <w:p>
            <w:pPr>
              <w:snapToGrid w:val="0"/>
              <w:spacing w:line="288" w:lineRule="auto"/>
              <w:ind w:right="25" w:rightChars="12"/>
              <w:jc w:val="left"/>
              <w:rPr>
                <w:szCs w:val="21"/>
              </w:rPr>
            </w:pPr>
            <w:r>
              <w:rPr>
                <w:szCs w:val="21"/>
                <w:lang w:val="en"/>
              </w:rPr>
              <w:t>(</w:t>
            </w:r>
            <w:r>
              <w:rPr>
                <w:rFonts w:hint="eastAsia"/>
                <w:szCs w:val="21"/>
                <w:lang w:val="en"/>
              </w:rPr>
              <w:t>III</w:t>
            </w:r>
            <w:r>
              <w:rPr>
                <w:szCs w:val="21"/>
                <w:lang w:val="en"/>
              </w:rPr>
              <w:t>) Degree or title proof for the Project Leader (one of the following):</w:t>
            </w:r>
          </w:p>
          <w:p>
            <w:pPr>
              <w:snapToGrid w:val="0"/>
              <w:spacing w:line="288" w:lineRule="auto"/>
              <w:ind w:right="25" w:rightChars="12" w:firstLine="210" w:firstLineChars="100"/>
              <w:jc w:val="left"/>
              <w:rPr>
                <w:szCs w:val="21"/>
              </w:rPr>
            </w:pPr>
            <w:r>
              <w:rPr>
                <w:szCs w:val="21"/>
                <w:lang w:val="en"/>
              </w:rPr>
              <w:t>1. A doctoral degree certificate; for current PhD students, provide the China Higher Education Student Information (CHSI) (https://www.chsi.com.cn) enrollment record. If no student status certification is available, or if the certification does not indicate enrollment at a Shenzhen-based university, an official enrollment certificate issued by the university’s academic affairs office or graduate school (with the official seal of the academic affairs office or graduate school) shall also be provided</w:t>
            </w:r>
          </w:p>
          <w:p>
            <w:pPr>
              <w:snapToGrid w:val="0"/>
              <w:spacing w:line="288" w:lineRule="auto"/>
              <w:ind w:right="25" w:rightChars="12" w:firstLine="210" w:firstLineChars="100"/>
              <w:jc w:val="left"/>
              <w:rPr>
                <w:szCs w:val="21"/>
              </w:rPr>
            </w:pPr>
            <w:r>
              <w:rPr>
                <w:szCs w:val="21"/>
                <w:lang w:val="en"/>
              </w:rPr>
              <w:t>2. A senior professional title certificate;</w:t>
            </w:r>
          </w:p>
          <w:p>
            <w:pPr>
              <w:snapToGrid w:val="0"/>
              <w:spacing w:line="288" w:lineRule="auto"/>
              <w:ind w:right="25" w:rightChars="12" w:firstLine="210" w:firstLineChars="100"/>
              <w:jc w:val="left"/>
              <w:rPr>
                <w:szCs w:val="21"/>
              </w:rPr>
            </w:pPr>
            <w:r>
              <w:rPr>
                <w:szCs w:val="21"/>
                <w:lang w:val="en"/>
              </w:rPr>
              <w:t>3. A master’s degree certificate along with two recommendation letters from senior scientific and technical personnel (holding senior professional titles) in the same research field;</w:t>
            </w:r>
          </w:p>
          <w:p>
            <w:pPr>
              <w:snapToGrid w:val="0"/>
              <w:spacing w:line="288" w:lineRule="auto"/>
              <w:ind w:right="25" w:rightChars="12" w:firstLine="210" w:firstLineChars="100"/>
              <w:jc w:val="left"/>
              <w:rPr>
                <w:szCs w:val="21"/>
              </w:rPr>
            </w:pPr>
            <w:r>
              <w:rPr>
                <w:szCs w:val="21"/>
                <w:lang w:val="en"/>
              </w:rPr>
              <w:t>4. An intermediate professional title certificate along with two recommendation letters from senior scientific and technical personnel (holding senior professional titles) in the same research field.</w:t>
            </w:r>
          </w:p>
          <w:p>
            <w:pPr>
              <w:snapToGrid w:val="0"/>
              <w:spacing w:line="288" w:lineRule="auto"/>
              <w:ind w:right="25" w:rightChars="12"/>
              <w:jc w:val="left"/>
              <w:rPr>
                <w:szCs w:val="21"/>
              </w:rPr>
            </w:pPr>
            <w:r>
              <w:rPr>
                <w:szCs w:val="21"/>
                <w:lang w:val="en"/>
              </w:rPr>
              <w:t>(</w:t>
            </w:r>
            <w:r>
              <w:rPr>
                <w:rFonts w:hint="eastAsia"/>
                <w:szCs w:val="21"/>
                <w:lang w:val="en"/>
              </w:rPr>
              <w:t>IV</w:t>
            </w:r>
            <w:r>
              <w:rPr>
                <w:szCs w:val="21"/>
                <w:lang w:val="en"/>
              </w:rPr>
              <w:t>) Copy of the signed labor contract between the Project Leader (not required for current PhD students) and their employers (within the validity period and sealed with the official stamp of the employer or the special seal of the HR department).</w:t>
            </w:r>
          </w:p>
          <w:p>
            <w:pPr>
              <w:snapToGrid w:val="0"/>
              <w:spacing w:line="288" w:lineRule="auto"/>
              <w:ind w:right="25" w:rightChars="12"/>
              <w:jc w:val="left"/>
              <w:rPr>
                <w:szCs w:val="21"/>
              </w:rPr>
            </w:pPr>
            <w:r>
              <w:rPr>
                <w:szCs w:val="21"/>
                <w:lang w:val="en"/>
              </w:rPr>
              <w:t>(</w:t>
            </w:r>
            <w:r>
              <w:rPr>
                <w:rFonts w:hint="eastAsia"/>
                <w:szCs w:val="21"/>
                <w:lang w:val="en"/>
              </w:rPr>
              <w:t>V</w:t>
            </w:r>
            <w:r>
              <w:rPr>
                <w:szCs w:val="21"/>
                <w:lang w:val="en"/>
              </w:rPr>
              <w:t xml:space="preserve">) </w:t>
            </w:r>
            <w:r>
              <w:rPr>
                <w:rFonts w:eastAsia="微软雅黑"/>
                <w:szCs w:val="32"/>
                <w:lang w:val="en"/>
              </w:rPr>
              <w:t>Copy of the Project Leader’s Shenzhen social insurance payment record issued within the past three months prior to application deadline (not required for current PhD students)</w:t>
            </w:r>
            <w:r>
              <w:rPr>
                <w:rFonts w:hint="eastAsia" w:eastAsia="微软雅黑"/>
                <w:szCs w:val="32"/>
                <w:lang w:val="en"/>
              </w:rPr>
              <w:t xml:space="preserve"> and </w:t>
            </w:r>
            <w:r>
              <w:rPr>
                <w:rFonts w:eastAsia="微软雅黑"/>
                <w:szCs w:val="32"/>
              </w:rPr>
              <w:t>a full-time work certificate in Shenzhen issued by the organization where the project leader is affiliated</w:t>
            </w:r>
            <w:r>
              <w:rPr>
                <w:rFonts w:eastAsia="微软雅黑"/>
                <w:szCs w:val="32"/>
                <w:lang w:val="en"/>
              </w:rPr>
              <w:t>.</w:t>
            </w:r>
            <w:r>
              <w:rPr>
                <w:lang w:val="en"/>
              </w:rPr>
              <w:t xml:space="preserve"> </w:t>
            </w:r>
            <w:r>
              <w:rPr>
                <w:szCs w:val="21"/>
                <w:lang w:val="en"/>
              </w:rPr>
              <w:t xml:space="preserve"> 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w:t>
            </w:r>
          </w:p>
          <w:p>
            <w:pPr>
              <w:snapToGrid w:val="0"/>
              <w:spacing w:line="288" w:lineRule="auto"/>
              <w:ind w:right="25" w:rightChars="12"/>
              <w:jc w:val="left"/>
              <w:rPr>
                <w:szCs w:val="21"/>
              </w:rPr>
            </w:pPr>
            <w:r>
              <w:rPr>
                <w:szCs w:val="21"/>
                <w:lang w:val="en"/>
              </w:rPr>
              <w:t>(</w:t>
            </w:r>
            <w:r>
              <w:rPr>
                <w:rFonts w:hint="eastAsia"/>
                <w:szCs w:val="21"/>
                <w:lang w:val="en"/>
              </w:rPr>
              <w:t>VI</w:t>
            </w:r>
            <w:r>
              <w:rPr>
                <w:szCs w:val="21"/>
                <w:lang w:val="en"/>
              </w:rPr>
              <w:t>) Copies of representative research achievements from recent three years (papers, monographs, patents, high-level talent certificates, awards, etc).</w:t>
            </w:r>
          </w:p>
          <w:p>
            <w:pPr>
              <w:snapToGrid w:val="0"/>
              <w:spacing w:line="288" w:lineRule="auto"/>
              <w:ind w:right="25" w:rightChars="12"/>
              <w:jc w:val="left"/>
              <w:rPr>
                <w:szCs w:val="21"/>
              </w:rPr>
            </w:pPr>
            <w:r>
              <w:rPr>
                <w:szCs w:val="21"/>
                <w:lang w:val="en"/>
              </w:rPr>
              <w:t>(</w:t>
            </w:r>
            <w:r>
              <w:rPr>
                <w:rFonts w:hint="eastAsia"/>
                <w:szCs w:val="21"/>
                <w:lang w:val="en"/>
              </w:rPr>
              <w:t>VII</w:t>
            </w:r>
            <w:r>
              <w:rPr>
                <w:szCs w:val="21"/>
                <w:lang w:val="en"/>
              </w:rPr>
              <w:t>) For projects with collaborators, a signed cooperation agreement with official seals from both parties shall be provided.</w:t>
            </w:r>
          </w:p>
          <w:p>
            <w:pPr>
              <w:snapToGrid w:val="0"/>
              <w:spacing w:line="288" w:lineRule="auto"/>
              <w:ind w:right="25" w:rightChars="12"/>
              <w:jc w:val="left"/>
              <w:rPr>
                <w:szCs w:val="21"/>
              </w:rPr>
            </w:pPr>
            <w:r>
              <w:rPr>
                <w:szCs w:val="21"/>
                <w:lang w:val="en"/>
              </w:rPr>
              <w:t>(</w:t>
            </w:r>
            <w:r>
              <w:rPr>
                <w:rFonts w:hint="eastAsia"/>
                <w:szCs w:val="21"/>
                <w:lang w:val="en"/>
              </w:rPr>
              <w:t>VIII</w:t>
            </w:r>
            <w:r>
              <w:rPr>
                <w:szCs w:val="21"/>
                <w:lang w:val="en"/>
              </w:rPr>
              <w:t>) Proof of research facilities and equipment at the applicant organization in Shenzhen (not required for universities or healthcare institutions).</w:t>
            </w:r>
          </w:p>
          <w:p>
            <w:pPr>
              <w:snapToGrid w:val="0"/>
              <w:spacing w:line="288" w:lineRule="auto"/>
              <w:ind w:right="25" w:rightChars="12"/>
              <w:jc w:val="left"/>
              <w:rPr>
                <w:szCs w:val="21"/>
              </w:rPr>
            </w:pPr>
            <w:r>
              <w:rPr>
                <w:szCs w:val="21"/>
                <w:lang w:val="en"/>
              </w:rPr>
              <w:t>(</w:t>
            </w:r>
            <w:r>
              <w:rPr>
                <w:rFonts w:hint="eastAsia"/>
                <w:szCs w:val="21"/>
                <w:lang w:val="en"/>
              </w:rPr>
              <w:t>IX</w:t>
            </w:r>
            <w:r>
              <w:rPr>
                <w:szCs w:val="21"/>
                <w:lang w:val="en"/>
              </w:rPr>
              <w:t>) For enterprise participants, a Letter of Commitment for Self-Raised Funds shall be submitted.</w:t>
            </w:r>
          </w:p>
          <w:p>
            <w:pPr>
              <w:snapToGrid w:val="0"/>
              <w:spacing w:line="288" w:lineRule="auto"/>
              <w:ind w:right="25" w:rightChars="12"/>
              <w:jc w:val="left"/>
            </w:pPr>
            <w:r>
              <w:rPr>
                <w:szCs w:val="21"/>
                <w:lang w:val="en"/>
              </w:rPr>
              <w:t>(</w:t>
            </w:r>
            <w:r>
              <w:rPr>
                <w:rFonts w:hint="eastAsia"/>
                <w:szCs w:val="21"/>
                <w:lang w:val="en"/>
              </w:rPr>
              <w:t>X</w:t>
            </w:r>
            <w:r>
              <w:rPr>
                <w:szCs w:val="21"/>
                <w:lang w:val="en"/>
              </w:rPr>
              <w:t>)</w:t>
            </w:r>
            <w:r>
              <w:rPr>
                <w:rFonts w:eastAsia="微软雅黑"/>
                <w:kern w:val="0"/>
                <w:szCs w:val="32"/>
              </w:rPr>
              <w:t xml:space="preserve"> Where the research content of the project involves scientific and technological ethics and security (such as biological safety, information security, etc.), it shall comply with the requirements of relevant policies and regulations, and provide an ethical review certificate issued by the ethics committee of the institution or entrusted organization.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10" w:type="dxa"/>
            <w:vAlign w:val="center"/>
          </w:tcPr>
          <w:p>
            <w:pPr>
              <w:spacing w:line="288" w:lineRule="auto"/>
              <w:ind w:right="25" w:rightChars="12"/>
              <w:jc w:val="center"/>
              <w:rPr>
                <w:szCs w:val="21"/>
              </w:rPr>
            </w:pPr>
            <w:r>
              <w:rPr>
                <w:szCs w:val="21"/>
                <w:lang w:val="en"/>
              </w:rPr>
              <w:t>9</w:t>
            </w:r>
          </w:p>
        </w:tc>
        <w:tc>
          <w:tcPr>
            <w:tcW w:w="13107" w:type="dxa"/>
            <w:vAlign w:val="center"/>
          </w:tcPr>
          <w:p>
            <w:pPr>
              <w:snapToGrid w:val="0"/>
              <w:spacing w:line="288" w:lineRule="auto"/>
              <w:ind w:right="25" w:rightChars="12"/>
              <w:jc w:val="left"/>
              <w:rPr>
                <w:rFonts w:hint="eastAsia"/>
                <w:spacing w:val="-2"/>
                <w:szCs w:val="21"/>
              </w:rPr>
            </w:pPr>
            <w:r>
              <w:rPr>
                <w:b/>
                <w:bCs/>
                <w:szCs w:val="21"/>
                <w:lang w:val="en"/>
              </w:rPr>
              <w:t>Signed Scanned Copies:</w:t>
            </w:r>
            <w:r>
              <w:rPr>
                <w:szCs w:val="21"/>
                <w:lang w:val="en"/>
              </w:rPr>
              <w:t xml:space="preserve"> Seal and Signature</w:t>
            </w:r>
            <w:r>
              <w:rPr>
                <w:rFonts w:hint="eastAsia"/>
                <w:szCs w:val="21"/>
                <w:lang w:val="en"/>
              </w:rPr>
              <w:t xml:space="preserve">, </w:t>
            </w:r>
            <w:r>
              <w:rPr>
                <w:rFonts w:hint="eastAsia"/>
                <w:szCs w:val="21"/>
              </w:rPr>
              <w:t>i</w:t>
            </w:r>
            <w:r>
              <w:rPr>
                <w:szCs w:val="21"/>
              </w:rPr>
              <w:t>f the signature is not provided by the person concerned, a power of attorney or other supporting documents proving the signatory’s authorization shall be su</w:t>
            </w:r>
            <w:bookmarkStart w:id="0" w:name="_GoBack"/>
            <w:bookmarkEnd w:id="0"/>
            <w:r>
              <w:rPr>
                <w:szCs w:val="21"/>
              </w:rPr>
              <w:t>bmitted.</w:t>
            </w:r>
          </w:p>
        </w:tc>
      </w:tr>
    </w:tbl>
    <w:p>
      <w:pPr>
        <w:pStyle w:val="2"/>
        <w:keepNext w:val="0"/>
        <w:spacing w:line="20" w:lineRule="exact"/>
        <w:rPr>
          <w:vanish/>
        </w:rPr>
      </w:pPr>
    </w:p>
    <w:sectPr>
      <w:pgSz w:w="16838" w:h="11906" w:orient="landscape"/>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75CC9"/>
    <w:multiLevelType w:val="multilevel"/>
    <w:tmpl w:val="06F75CC9"/>
    <w:lvl w:ilvl="0" w:tentative="0">
      <w:start w:val="1"/>
      <w:numFmt w:val="decimal"/>
      <w:lvlText w:val="%1."/>
      <w:lvlJc w:val="left"/>
      <w:pPr>
        <w:ind w:left="570" w:hanging="36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GIyMTc3OWRhNzU1MjE0MGRiY2I4NjcxNDRhNGEifQ=="/>
  </w:docVars>
  <w:rsids>
    <w:rsidRoot w:val="00042300"/>
    <w:rsid w:val="0002139D"/>
    <w:rsid w:val="000301AC"/>
    <w:rsid w:val="00042300"/>
    <w:rsid w:val="00057159"/>
    <w:rsid w:val="0006259D"/>
    <w:rsid w:val="000A2503"/>
    <w:rsid w:val="000B4BB9"/>
    <w:rsid w:val="000B7A3D"/>
    <w:rsid w:val="000C4A32"/>
    <w:rsid w:val="000C589D"/>
    <w:rsid w:val="0013417E"/>
    <w:rsid w:val="00140C0E"/>
    <w:rsid w:val="001417C9"/>
    <w:rsid w:val="00141DA8"/>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32C1"/>
    <w:rsid w:val="003866BE"/>
    <w:rsid w:val="003B4D44"/>
    <w:rsid w:val="003C085D"/>
    <w:rsid w:val="003C30B4"/>
    <w:rsid w:val="003F5CAE"/>
    <w:rsid w:val="004023BC"/>
    <w:rsid w:val="00425A46"/>
    <w:rsid w:val="00434AC2"/>
    <w:rsid w:val="0044530E"/>
    <w:rsid w:val="004678DC"/>
    <w:rsid w:val="00472C64"/>
    <w:rsid w:val="004739CB"/>
    <w:rsid w:val="004825CC"/>
    <w:rsid w:val="004920FE"/>
    <w:rsid w:val="00497FB4"/>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23E3E"/>
    <w:rsid w:val="00636A8B"/>
    <w:rsid w:val="00642341"/>
    <w:rsid w:val="006444C9"/>
    <w:rsid w:val="00651159"/>
    <w:rsid w:val="00666DED"/>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8333D"/>
    <w:rsid w:val="0078446A"/>
    <w:rsid w:val="0079216D"/>
    <w:rsid w:val="007A25A4"/>
    <w:rsid w:val="007B1EAE"/>
    <w:rsid w:val="007B2676"/>
    <w:rsid w:val="007B7CFC"/>
    <w:rsid w:val="007C1D56"/>
    <w:rsid w:val="007C7080"/>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372B9"/>
    <w:rsid w:val="00942750"/>
    <w:rsid w:val="00943978"/>
    <w:rsid w:val="00945C0C"/>
    <w:rsid w:val="00954FFE"/>
    <w:rsid w:val="00963A62"/>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25DF7"/>
    <w:rsid w:val="00B365C9"/>
    <w:rsid w:val="00B5110F"/>
    <w:rsid w:val="00B63D21"/>
    <w:rsid w:val="00B90FFB"/>
    <w:rsid w:val="00B9250C"/>
    <w:rsid w:val="00BC364C"/>
    <w:rsid w:val="00BC5733"/>
    <w:rsid w:val="00BD5422"/>
    <w:rsid w:val="00BE7F83"/>
    <w:rsid w:val="00BF5149"/>
    <w:rsid w:val="00BF6BA8"/>
    <w:rsid w:val="00C10601"/>
    <w:rsid w:val="00C2082B"/>
    <w:rsid w:val="00C22335"/>
    <w:rsid w:val="00C605F0"/>
    <w:rsid w:val="00C62CC7"/>
    <w:rsid w:val="00C86BD7"/>
    <w:rsid w:val="00CA4F55"/>
    <w:rsid w:val="00CA6817"/>
    <w:rsid w:val="00CA6ECC"/>
    <w:rsid w:val="00CC5EA8"/>
    <w:rsid w:val="00CD1A0D"/>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25CB3"/>
    <w:rsid w:val="00E44342"/>
    <w:rsid w:val="00EB3CCC"/>
    <w:rsid w:val="00ED2ABE"/>
    <w:rsid w:val="00ED7D5E"/>
    <w:rsid w:val="00F02D7B"/>
    <w:rsid w:val="00F0392A"/>
    <w:rsid w:val="00F04398"/>
    <w:rsid w:val="00F0537A"/>
    <w:rsid w:val="00F34173"/>
    <w:rsid w:val="00F354F2"/>
    <w:rsid w:val="00F45549"/>
    <w:rsid w:val="00F51F02"/>
    <w:rsid w:val="00F65613"/>
    <w:rsid w:val="00F656FC"/>
    <w:rsid w:val="00F770D2"/>
    <w:rsid w:val="00F8083C"/>
    <w:rsid w:val="00F831A3"/>
    <w:rsid w:val="00FA4372"/>
    <w:rsid w:val="00FB16F6"/>
    <w:rsid w:val="00FD34C8"/>
    <w:rsid w:val="00FE6BAA"/>
    <w:rsid w:val="040C682A"/>
    <w:rsid w:val="046B39B2"/>
    <w:rsid w:val="05143098"/>
    <w:rsid w:val="06602757"/>
    <w:rsid w:val="0A4B60E2"/>
    <w:rsid w:val="0A655068"/>
    <w:rsid w:val="0CCE79D2"/>
    <w:rsid w:val="0CFF4D63"/>
    <w:rsid w:val="0D0E6B3D"/>
    <w:rsid w:val="0D13485A"/>
    <w:rsid w:val="112B1D33"/>
    <w:rsid w:val="1514507A"/>
    <w:rsid w:val="171E0C24"/>
    <w:rsid w:val="1BA926BF"/>
    <w:rsid w:val="1C7D141A"/>
    <w:rsid w:val="1E663A1E"/>
    <w:rsid w:val="1ED27A12"/>
    <w:rsid w:val="1EDB45FB"/>
    <w:rsid w:val="1F3AAFA3"/>
    <w:rsid w:val="204408B1"/>
    <w:rsid w:val="22062E3A"/>
    <w:rsid w:val="226914BD"/>
    <w:rsid w:val="234D6FE6"/>
    <w:rsid w:val="23E41AA1"/>
    <w:rsid w:val="25373750"/>
    <w:rsid w:val="277D2E2A"/>
    <w:rsid w:val="279D89D4"/>
    <w:rsid w:val="28543108"/>
    <w:rsid w:val="2945318A"/>
    <w:rsid w:val="29572431"/>
    <w:rsid w:val="29663E63"/>
    <w:rsid w:val="2C4D33BB"/>
    <w:rsid w:val="2FC60872"/>
    <w:rsid w:val="306072BE"/>
    <w:rsid w:val="32A90125"/>
    <w:rsid w:val="347B2B1C"/>
    <w:rsid w:val="348215E3"/>
    <w:rsid w:val="351A2268"/>
    <w:rsid w:val="37FEABF4"/>
    <w:rsid w:val="395B63C2"/>
    <w:rsid w:val="3A7E5597"/>
    <w:rsid w:val="3B8C0D66"/>
    <w:rsid w:val="3E3B5F9A"/>
    <w:rsid w:val="3E9FC085"/>
    <w:rsid w:val="3F966155"/>
    <w:rsid w:val="3FEFC91B"/>
    <w:rsid w:val="42D95EC9"/>
    <w:rsid w:val="466E3E7A"/>
    <w:rsid w:val="46C82000"/>
    <w:rsid w:val="47107707"/>
    <w:rsid w:val="4737A3E7"/>
    <w:rsid w:val="47E66307"/>
    <w:rsid w:val="48AF1EED"/>
    <w:rsid w:val="49C544FC"/>
    <w:rsid w:val="4A730A42"/>
    <w:rsid w:val="4ABF7979"/>
    <w:rsid w:val="4BC56CD6"/>
    <w:rsid w:val="4BF16A86"/>
    <w:rsid w:val="4BF4541F"/>
    <w:rsid w:val="4C570451"/>
    <w:rsid w:val="4E4D0719"/>
    <w:rsid w:val="4E9C2BDA"/>
    <w:rsid w:val="4FFB5018"/>
    <w:rsid w:val="515A6A92"/>
    <w:rsid w:val="52BEEBD7"/>
    <w:rsid w:val="54775422"/>
    <w:rsid w:val="54C859D2"/>
    <w:rsid w:val="55BFF285"/>
    <w:rsid w:val="55D10C0B"/>
    <w:rsid w:val="569FE782"/>
    <w:rsid w:val="57543DCB"/>
    <w:rsid w:val="58C31894"/>
    <w:rsid w:val="594C00F4"/>
    <w:rsid w:val="59FDFFC9"/>
    <w:rsid w:val="5AC50E56"/>
    <w:rsid w:val="5BB81AB6"/>
    <w:rsid w:val="5BBB0DC0"/>
    <w:rsid w:val="5C2F13EE"/>
    <w:rsid w:val="5C712F87"/>
    <w:rsid w:val="5C9D9917"/>
    <w:rsid w:val="5DD72E4D"/>
    <w:rsid w:val="5ECB2E97"/>
    <w:rsid w:val="5FFBCF47"/>
    <w:rsid w:val="60FD1BA6"/>
    <w:rsid w:val="655D762B"/>
    <w:rsid w:val="668763AF"/>
    <w:rsid w:val="66EC1C6F"/>
    <w:rsid w:val="67FF0BFD"/>
    <w:rsid w:val="69D15C3A"/>
    <w:rsid w:val="6B7751C0"/>
    <w:rsid w:val="6C896C64"/>
    <w:rsid w:val="6E470433"/>
    <w:rsid w:val="6EFBFC2D"/>
    <w:rsid w:val="6FAD4679"/>
    <w:rsid w:val="71BFA16C"/>
    <w:rsid w:val="7285474B"/>
    <w:rsid w:val="73576922"/>
    <w:rsid w:val="766963A6"/>
    <w:rsid w:val="76FE1644"/>
    <w:rsid w:val="77AFB8A1"/>
    <w:rsid w:val="782730E0"/>
    <w:rsid w:val="7E3D525E"/>
    <w:rsid w:val="7F7F2521"/>
    <w:rsid w:val="7FB20317"/>
    <w:rsid w:val="7FF7BB60"/>
    <w:rsid w:val="7FF98D43"/>
    <w:rsid w:val="7FFCDFC2"/>
    <w:rsid w:val="ABFF3DE0"/>
    <w:rsid w:val="B64EF6DA"/>
    <w:rsid w:val="BDEAF14F"/>
    <w:rsid w:val="BFB84E7E"/>
    <w:rsid w:val="C9656E8F"/>
    <w:rsid w:val="CFFFA0E5"/>
    <w:rsid w:val="DE79C786"/>
    <w:rsid w:val="EEF14C29"/>
    <w:rsid w:val="EFFB4BBF"/>
    <w:rsid w:val="F5F4F98F"/>
    <w:rsid w:val="FBFBA439"/>
    <w:rsid w:val="FDEF4C75"/>
    <w:rsid w:val="FDF7A8FD"/>
    <w:rsid w:val="FEFEB4BD"/>
    <w:rsid w:val="FF37D417"/>
    <w:rsid w:val="FFBF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280"/>
      </w:tabs>
      <w:spacing w:line="360" w:lineRule="auto"/>
    </w:pPr>
  </w:style>
  <w:style w:type="paragraph" w:styleId="8">
    <w:name w:val="Normal (Web)"/>
    <w:basedOn w:val="1"/>
    <w:qFormat/>
    <w:uiPriority w:val="0"/>
    <w:pPr>
      <w:widowControl/>
      <w:spacing w:line="384" w:lineRule="auto"/>
      <w:jc w:val="left"/>
    </w:pPr>
    <w:rPr>
      <w:rFonts w:ascii="宋体" w:hAnsi="宋体" w:cs="宋体"/>
      <w:color w:val="333333"/>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style2"/>
    <w:basedOn w:val="1"/>
    <w:qFormat/>
    <w:uiPriority w:val="0"/>
    <w:pPr>
      <w:widowControl/>
      <w:spacing w:line="432" w:lineRule="auto"/>
      <w:jc w:val="left"/>
    </w:pPr>
    <w:rPr>
      <w:rFonts w:ascii="宋体" w:hAnsi="宋体" w:cs="宋体"/>
      <w:color w:val="333333"/>
      <w:kern w:val="0"/>
      <w:sz w:val="22"/>
      <w:szCs w:val="22"/>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6473</Words>
  <Characters>6539</Characters>
  <Lines>186</Lines>
  <Paragraphs>265</Paragraphs>
  <TotalTime>192</TotalTime>
  <ScaleCrop>false</ScaleCrop>
  <LinksUpToDate>false</LinksUpToDate>
  <CharactersWithSpaces>12747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2018-08-07T22:09:00Z</dcterms:created>
  <dc:creator>GuWG</dc:creator>
  <cp:lastModifiedBy>蓝娟娟</cp:lastModifiedBy>
  <cp:lastPrinted>2024-07-09T07:32:00Z</cp:lastPrinted>
  <dcterms:modified xsi:type="dcterms:W3CDTF">2026-04-22T20:45:44Z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65AB722690427E628C1302683796ED05</vt:lpwstr>
  </property>
  <property fmtid="{D5CDD505-2E9C-101B-9397-08002B2CF9AE}" pid="4" name="KSOTemplateDocerSaveRecord">
    <vt:lpwstr>eyJoZGlkIjoiZDgwNWIzNzcyYjc4YTMzMmI2ZGVjNDRlMzIxMDFiMzEiLCJ1c2VySWQiOiI2NjY3MjQ0NjYifQ==</vt:lpwstr>
  </property>
</Properties>
</file>