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1882" w:tblpY="85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799"/>
        <w:gridCol w:w="1319"/>
        <w:gridCol w:w="978"/>
        <w:gridCol w:w="1559"/>
        <w:gridCol w:w="3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522" w:type="dxa"/>
            <w:gridSpan w:val="6"/>
            <w:vAlign w:val="center"/>
          </w:tcPr>
          <w:p>
            <w:pPr>
              <w:spacing w:line="400" w:lineRule="exact"/>
              <w:ind w:firstLine="560" w:firstLineChars="200"/>
              <w:jc w:val="center"/>
              <w:rPr>
                <w:rFonts w:ascii="宋体" w:hAnsi="宋体" w:eastAsia="宋体" w:cs="Times New Roman"/>
                <w:b/>
                <w:sz w:val="24"/>
                <w:szCs w:val="24"/>
              </w:rPr>
            </w:pPr>
            <w:r>
              <w:rPr>
                <w:rFonts w:hint="eastAsia" w:ascii="华文仿宋" w:hAnsi="华文仿宋" w:eastAsia="华文仿宋" w:cs="华文仿宋"/>
                <w:b/>
                <w:bCs/>
                <w:color w:val="000000"/>
                <w:sz w:val="28"/>
                <w:szCs w:val="28"/>
                <w:lang w:val="en-US" w:eastAsia="zh-CN"/>
              </w:rPr>
              <w:t>市科技创新局关于对20250080号提案的答复清单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522" w:type="dxa"/>
            <w:gridSpan w:val="6"/>
            <w:vAlign w:val="center"/>
          </w:tcPr>
          <w:p>
            <w:pPr>
              <w:spacing w:line="400" w:lineRule="exact"/>
              <w:jc w:val="left"/>
              <w:rPr>
                <w:rFonts w:hint="eastAsia" w:ascii="华文仿宋" w:hAnsi="华文仿宋" w:eastAsia="华文仿宋" w:cs="华文仿宋"/>
                <w:b/>
                <w:bCs/>
                <w:color w:val="000000"/>
                <w:sz w:val="28"/>
                <w:szCs w:val="28"/>
                <w:lang w:val="en-US" w:eastAsia="zh-CN"/>
              </w:rPr>
            </w:pPr>
            <w:r>
              <w:rPr>
                <w:rFonts w:hint="eastAsia" w:ascii="华文仿宋" w:hAnsi="华文仿宋" w:eastAsia="华文仿宋" w:cs="华文仿宋"/>
                <w:b/>
                <w:bCs/>
                <w:color w:val="000000"/>
                <w:sz w:val="28"/>
                <w:szCs w:val="28"/>
                <w:lang w:val="en-US" w:eastAsia="zh-CN"/>
              </w:rPr>
              <w:t>尊敬的周璇等委员：</w:t>
            </w:r>
          </w:p>
          <w:p>
            <w:pPr>
              <w:spacing w:line="400" w:lineRule="exact"/>
              <w:jc w:val="left"/>
              <w:rPr>
                <w:rFonts w:ascii="宋体" w:hAnsi="宋体" w:eastAsia="宋体" w:cs="Times New Roman"/>
                <w:b/>
                <w:sz w:val="24"/>
                <w:szCs w:val="24"/>
              </w:rPr>
            </w:pPr>
            <w:r>
              <w:rPr>
                <w:rFonts w:hint="eastAsia" w:ascii="华文仿宋" w:hAnsi="华文仿宋" w:eastAsia="华文仿宋" w:cs="华文仿宋"/>
                <w:b/>
                <w:bCs/>
                <w:color w:val="000000"/>
                <w:sz w:val="28"/>
                <w:szCs w:val="28"/>
                <w:lang w:val="en-US" w:eastAsia="zh-CN"/>
              </w:rPr>
              <w:t>《</w:t>
            </w:r>
            <w:r>
              <w:rPr>
                <w:rFonts w:hint="eastAsia" w:ascii="华文仿宋" w:hAnsi="华文仿宋" w:eastAsia="华文仿宋" w:cs="华文仿宋"/>
                <w:b w:val="0"/>
                <w:bCs w:val="0"/>
                <w:color w:val="000000"/>
                <w:sz w:val="28"/>
                <w:szCs w:val="28"/>
                <w:lang w:val="en-US" w:eastAsia="zh-CN"/>
              </w:rPr>
              <w:t>关于大胆创新科技成果转化机制，有效提升转化率的建议（第20250080号）</w:t>
            </w:r>
            <w:r>
              <w:rPr>
                <w:rFonts w:hint="eastAsia" w:ascii="华文仿宋" w:hAnsi="华文仿宋" w:eastAsia="华文仿宋" w:cs="华文仿宋"/>
                <w:b/>
                <w:bCs/>
                <w:color w:val="000000"/>
                <w:sz w:val="28"/>
                <w:szCs w:val="28"/>
                <w:lang w:val="en-US" w:eastAsia="zh-CN"/>
              </w:rPr>
              <w:t>》收悉，现就提案办理有关情况答复如下：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85" w:type="dxa"/>
            <w:vMerge w:val="restart"/>
            <w:vAlign w:val="center"/>
          </w:tcPr>
          <w:p>
            <w:pPr>
              <w:spacing w:line="360" w:lineRule="auto"/>
              <w:ind w:firstLine="481" w:firstLineChars="200"/>
              <w:jc w:val="center"/>
              <w:rPr>
                <w:rFonts w:ascii="宋体" w:hAnsi="宋体" w:eastAsia="宋体" w:cs="Times New Roman"/>
                <w:b/>
                <w:sz w:val="24"/>
                <w:szCs w:val="24"/>
              </w:rPr>
            </w:pPr>
            <w:r>
              <w:rPr>
                <w:rFonts w:hint="eastAsia" w:ascii="宋体" w:hAnsi="宋体" w:eastAsia="宋体" w:cs="Times New Roman"/>
                <w:b/>
                <w:sz w:val="24"/>
                <w:szCs w:val="24"/>
              </w:rPr>
              <w:t>办</w:t>
            </w:r>
            <w:r>
              <w:rPr>
                <w:rFonts w:hint="eastAsia" w:ascii="华文仿宋" w:hAnsi="华文仿宋" w:eastAsia="华文仿宋" w:cs="华文仿宋"/>
                <w:b/>
                <w:sz w:val="28"/>
                <w:szCs w:val="28"/>
                <w:lang w:val="en-US" w:eastAsia="zh-CN"/>
              </w:rPr>
              <w:t>答复清单</w:t>
            </w:r>
          </w:p>
        </w:tc>
        <w:tc>
          <w:tcPr>
            <w:tcW w:w="2118" w:type="dxa"/>
            <w:gridSpan w:val="2"/>
            <w:vAlign w:val="center"/>
          </w:tcPr>
          <w:p>
            <w:pPr>
              <w:spacing w:line="400" w:lineRule="exact"/>
              <w:jc w:val="center"/>
              <w:rPr>
                <w:rFonts w:ascii="宋体" w:hAnsi="宋体" w:eastAsia="宋体" w:cs="Times New Roman"/>
                <w:b/>
                <w:szCs w:val="21"/>
              </w:rPr>
            </w:pPr>
            <w:r>
              <w:rPr>
                <w:rFonts w:hint="eastAsia" w:ascii="华文仿宋" w:hAnsi="华文仿宋" w:eastAsia="华文仿宋" w:cs="华文仿宋"/>
                <w:b/>
                <w:sz w:val="24"/>
                <w:szCs w:val="24"/>
                <w:lang w:val="en-US" w:eastAsia="zh-CN"/>
              </w:rPr>
              <w:t>建议一</w:t>
            </w:r>
          </w:p>
        </w:tc>
        <w:tc>
          <w:tcPr>
            <w:tcW w:w="5819" w:type="dxa"/>
            <w:gridSpan w:val="3"/>
          </w:tcPr>
          <w:p>
            <w:pPr>
              <w:spacing w:line="400" w:lineRule="exact"/>
              <w:jc w:val="both"/>
              <w:rPr>
                <w:rFonts w:hint="eastAsia"/>
                <w:lang w:val="zh-CN" w:eastAsia="zh-CN"/>
              </w:rPr>
            </w:pPr>
            <w:r>
              <w:rPr>
                <w:rFonts w:hint="eastAsia"/>
                <w:lang w:val="zh-CN" w:eastAsia="zh-CN"/>
              </w:rPr>
              <w:t>重视科技成果转化服务体系建设，打造强有力的中介服务组织：</w:t>
            </w:r>
          </w:p>
          <w:p>
            <w:pPr>
              <w:spacing w:line="400" w:lineRule="exact"/>
              <w:jc w:val="both"/>
              <w:rPr>
                <w:rFonts w:hint="eastAsia"/>
                <w:lang w:val="zh-CN"/>
              </w:rPr>
            </w:pPr>
            <w:r>
              <w:rPr>
                <w:rFonts w:hint="eastAsia"/>
                <w:lang w:val="zh-CN"/>
              </w:rPr>
              <w:t>（一）关于探索专业服务业税收改革向国家申请税收改革试点，降低为科创企业服务的专业服务行业的合伙人个人所得税累进税率方面;</w:t>
            </w:r>
          </w:p>
          <w:p>
            <w:pPr>
              <w:spacing w:line="400" w:lineRule="exact"/>
              <w:jc w:val="both"/>
              <w:rPr>
                <w:rFonts w:hint="eastAsia" w:ascii="华文仿宋" w:hAnsi="华文仿宋" w:eastAsia="华文仿宋" w:cs="华文仿宋"/>
                <w:b/>
                <w:sz w:val="24"/>
                <w:szCs w:val="24"/>
              </w:rPr>
            </w:pPr>
            <w:r>
              <w:rPr>
                <w:rFonts w:hint="eastAsia"/>
                <w:lang w:val="zh-CN"/>
              </w:rPr>
              <w:t>（二）关于通过对律师事务所合伙人的个税优惠，吸引更多司法部千名涉外律师人才落户深圳方面;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585" w:type="dxa"/>
            <w:vMerge w:val="continue"/>
            <w:vAlign w:val="center"/>
          </w:tcPr>
          <w:p>
            <w:pPr>
              <w:spacing w:line="400" w:lineRule="exact"/>
              <w:jc w:val="center"/>
              <w:rPr>
                <w:rFonts w:ascii="Calibri" w:hAnsi="Calibri" w:eastAsia="宋体" w:cs="Times New Roman"/>
                <w:b/>
              </w:rPr>
            </w:pPr>
          </w:p>
        </w:tc>
        <w:tc>
          <w:tcPr>
            <w:tcW w:w="2118" w:type="dxa"/>
            <w:gridSpan w:val="2"/>
            <w:vAlign w:val="center"/>
          </w:tcPr>
          <w:p>
            <w:pPr>
              <w:spacing w:line="400" w:lineRule="exact"/>
              <w:jc w:val="center"/>
              <w:rPr>
                <w:rFonts w:ascii="宋体" w:hAnsi="宋体" w:eastAsia="宋体" w:cs="Times New Roman"/>
                <w:b/>
                <w:sz w:val="24"/>
                <w:szCs w:val="24"/>
              </w:rPr>
            </w:pPr>
            <w:r>
              <w:rPr>
                <w:rFonts w:hint="eastAsia" w:ascii="华文仿宋" w:hAnsi="华文仿宋" w:eastAsia="华文仿宋" w:cs="华文仿宋"/>
                <w:b/>
                <w:sz w:val="24"/>
                <w:szCs w:val="24"/>
              </w:rPr>
              <w:t>当年完成的事项</w:t>
            </w:r>
          </w:p>
        </w:tc>
        <w:tc>
          <w:tcPr>
            <w:tcW w:w="5819" w:type="dxa"/>
            <w:gridSpan w:val="3"/>
            <w:vAlign w:val="center"/>
          </w:tcPr>
          <w:p>
            <w:pPr>
              <w:spacing w:line="400" w:lineRule="exact"/>
              <w:rPr>
                <w:rFonts w:hint="eastAsia" w:ascii="华文仿宋" w:hAnsi="华文仿宋" w:eastAsia="华文仿宋" w:cs="华文仿宋"/>
                <w:b/>
                <w:sz w:val="24"/>
                <w:szCs w:val="24"/>
              </w:rPr>
            </w:pPr>
            <w:r>
              <w:rPr>
                <w:lang w:val="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85" w:type="dxa"/>
            <w:vMerge w:val="continue"/>
            <w:vAlign w:val="center"/>
          </w:tcPr>
          <w:p>
            <w:pPr>
              <w:spacing w:line="400" w:lineRule="exact"/>
              <w:ind w:firstLine="481" w:firstLineChars="200"/>
              <w:jc w:val="center"/>
              <w:rPr>
                <w:rFonts w:ascii="宋体" w:hAnsi="宋体" w:eastAsia="宋体" w:cs="Times New Roman"/>
                <w:b/>
                <w:sz w:val="24"/>
                <w:szCs w:val="24"/>
              </w:rPr>
            </w:pPr>
          </w:p>
        </w:tc>
        <w:tc>
          <w:tcPr>
            <w:tcW w:w="2118" w:type="dxa"/>
            <w:gridSpan w:val="2"/>
            <w:vAlign w:val="center"/>
          </w:tcPr>
          <w:p>
            <w:pPr>
              <w:spacing w:line="400" w:lineRule="exact"/>
              <w:jc w:val="center"/>
              <w:rPr>
                <w:rFonts w:ascii="Calibri" w:hAnsi="Calibri" w:eastAsia="宋体" w:cs="Times New Roman"/>
                <w:b/>
              </w:rPr>
            </w:pPr>
            <w:r>
              <w:rPr>
                <w:rFonts w:hint="eastAsia" w:ascii="华文仿宋" w:hAnsi="华文仿宋" w:eastAsia="华文仿宋" w:cs="华文仿宋"/>
                <w:b/>
                <w:sz w:val="24"/>
                <w:szCs w:val="24"/>
              </w:rPr>
              <w:t>当年推动的工作</w:t>
            </w:r>
          </w:p>
        </w:tc>
        <w:tc>
          <w:tcPr>
            <w:tcW w:w="5819" w:type="dxa"/>
            <w:gridSpan w:val="3"/>
            <w:vAlign w:val="center"/>
          </w:tcPr>
          <w:p>
            <w:pPr>
              <w:spacing w:line="400" w:lineRule="exact"/>
              <w:rPr>
                <w:rFonts w:hint="eastAsia" w:ascii="华文仿宋" w:hAnsi="华文仿宋" w:eastAsia="华文仿宋" w:cs="华文仿宋"/>
                <w:b/>
                <w:sz w:val="24"/>
                <w:szCs w:val="24"/>
              </w:rPr>
            </w:pPr>
            <w:r>
              <w:rPr>
                <w:rFonts w:hint="eastAsia"/>
                <w:lang w:val="en-US" w:eastAsia="zh-CN"/>
              </w:rPr>
              <w:t>深圳市税务局将认真落实好现有的税收政策，优化税收营商环境，简便办税流程。同时也将持续关注律师事务所等中介服务机构个人所得税问题，适时向国家税务总局提出政策调整的意见和建议。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585" w:type="dxa"/>
            <w:vMerge w:val="continue"/>
            <w:vAlign w:val="center"/>
          </w:tcPr>
          <w:p>
            <w:pPr>
              <w:spacing w:line="400" w:lineRule="exact"/>
              <w:ind w:firstLine="421" w:firstLineChars="200"/>
              <w:jc w:val="center"/>
              <w:rPr>
                <w:rFonts w:ascii="Calibri" w:hAnsi="Calibri" w:eastAsia="宋体" w:cs="Times New Roman"/>
                <w:b/>
              </w:rPr>
            </w:pPr>
          </w:p>
        </w:tc>
        <w:tc>
          <w:tcPr>
            <w:tcW w:w="2118" w:type="dxa"/>
            <w:gridSpan w:val="2"/>
            <w:vAlign w:val="center"/>
          </w:tcPr>
          <w:p>
            <w:pPr>
              <w:spacing w:line="400" w:lineRule="exact"/>
              <w:jc w:val="center"/>
              <w:rPr>
                <w:rFonts w:ascii="Calibri" w:hAnsi="Calibri" w:eastAsia="宋体" w:cs="Times New Roman"/>
                <w:b/>
              </w:rPr>
            </w:pPr>
            <w:r>
              <w:rPr>
                <w:rFonts w:hint="eastAsia" w:ascii="华文仿宋" w:hAnsi="华文仿宋" w:eastAsia="华文仿宋" w:cs="华文仿宋"/>
                <w:b/>
                <w:sz w:val="24"/>
                <w:szCs w:val="24"/>
              </w:rPr>
              <w:t>明年待落实事项</w:t>
            </w:r>
          </w:p>
        </w:tc>
        <w:tc>
          <w:tcPr>
            <w:tcW w:w="5819" w:type="dxa"/>
            <w:gridSpan w:val="3"/>
            <w:vAlign w:val="center"/>
          </w:tcPr>
          <w:p>
            <w:pPr>
              <w:spacing w:line="400" w:lineRule="exact"/>
              <w:rPr>
                <w:rFonts w:hint="eastAsia" w:ascii="华文仿宋" w:hAnsi="华文仿宋" w:eastAsia="华文仿宋" w:cs="华文仿宋"/>
                <w:b/>
                <w:sz w:val="24"/>
                <w:szCs w:val="24"/>
              </w:rPr>
            </w:pPr>
            <w:r>
              <w:rPr>
                <w:lang w:val="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585" w:type="dxa"/>
            <w:vMerge w:val="continue"/>
            <w:vAlign w:val="center"/>
          </w:tcPr>
          <w:p>
            <w:pPr>
              <w:spacing w:line="400" w:lineRule="exact"/>
              <w:ind w:firstLine="421" w:firstLineChars="200"/>
              <w:jc w:val="center"/>
              <w:rPr>
                <w:rFonts w:ascii="Calibri" w:hAnsi="Calibri" w:eastAsia="宋体" w:cs="Times New Roman"/>
                <w:b/>
              </w:rPr>
            </w:pPr>
          </w:p>
        </w:tc>
        <w:tc>
          <w:tcPr>
            <w:tcW w:w="2118" w:type="dxa"/>
            <w:gridSpan w:val="2"/>
            <w:vAlign w:val="center"/>
          </w:tcPr>
          <w:p>
            <w:pPr>
              <w:spacing w:line="400" w:lineRule="exact"/>
              <w:jc w:val="center"/>
              <w:rPr>
                <w:rFonts w:ascii="Calibri" w:hAnsi="Calibri" w:eastAsia="宋体" w:cs="Times New Roman"/>
                <w:b/>
              </w:rPr>
            </w:pPr>
            <w:r>
              <w:rPr>
                <w:rFonts w:hint="eastAsia" w:ascii="华文仿宋" w:hAnsi="华文仿宋" w:eastAsia="华文仿宋" w:cs="华文仿宋"/>
                <w:b/>
                <w:sz w:val="24"/>
                <w:szCs w:val="24"/>
              </w:rPr>
              <w:t>不能采纳原因</w:t>
            </w:r>
          </w:p>
        </w:tc>
        <w:tc>
          <w:tcPr>
            <w:tcW w:w="5819" w:type="dxa"/>
            <w:gridSpan w:val="3"/>
            <w:vAlign w:val="center"/>
          </w:tcPr>
          <w:p>
            <w:pPr>
              <w:spacing w:line="400" w:lineRule="exact"/>
              <w:jc w:val="both"/>
              <w:rPr>
                <w:rFonts w:hint="eastAsia"/>
                <w:lang w:val="zh-CN"/>
              </w:rPr>
            </w:pPr>
            <w:r>
              <w:rPr>
                <w:lang w:val="zh-CN"/>
              </w:rPr>
              <w:t>1.</w:t>
            </w:r>
            <w:r>
              <w:rPr>
                <w:rFonts w:hint="eastAsia"/>
                <w:lang w:val="zh-CN"/>
              </w:rPr>
              <w:t>我国税法的制定、出台和解释等权力均集中在中央。地方政府和税务机关无权对现行政策进行突破，目前也暂无针对特定行业开展个人所得税改革试点的先例;</w:t>
            </w:r>
          </w:p>
          <w:p>
            <w:pPr>
              <w:spacing w:line="400" w:lineRule="exact"/>
              <w:jc w:val="both"/>
              <w:rPr>
                <w:rFonts w:hint="eastAsia"/>
                <w:lang w:val="zh-CN"/>
              </w:rPr>
            </w:pPr>
            <w:r>
              <w:rPr>
                <w:rFonts w:hint="eastAsia"/>
                <w:lang w:val="zh-CN"/>
              </w:rPr>
              <w:t>2.根据《关于切实加强高收入者个人所得税征管的通知》（国税发〔2011〕50号），对律师事务所、会计师事务所、税务师事务所、资产评估和房地产估价等鉴证类中介机构，不得实行核定征收个人所得税。我市律师事务所已严格实行查账征收个人所得税。地方税务部门既无权出台针对律师事务所的个人所得税优惠政策，在目前国家层面加强对中介机构个人所得税征收管理的背景下，也不宜针对中介机构实行个人所得税优惠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5" w:type="dxa"/>
            <w:vMerge w:val="continue"/>
            <w:vAlign w:val="center"/>
          </w:tcPr>
          <w:p>
            <w:pPr>
              <w:spacing w:line="400" w:lineRule="exact"/>
              <w:ind w:firstLine="421" w:firstLineChars="200"/>
              <w:jc w:val="center"/>
              <w:rPr>
                <w:rFonts w:ascii="Calibri" w:hAnsi="Calibri" w:eastAsia="宋体" w:cs="Times New Roman"/>
                <w:b/>
              </w:rPr>
            </w:pPr>
          </w:p>
        </w:tc>
        <w:tc>
          <w:tcPr>
            <w:tcW w:w="2118" w:type="dxa"/>
            <w:gridSpan w:val="2"/>
            <w:vAlign w:val="center"/>
          </w:tcPr>
          <w:p>
            <w:pPr>
              <w:spacing w:line="400" w:lineRule="exact"/>
              <w:jc w:val="center"/>
              <w:rPr>
                <w:rFonts w:ascii="Calibri" w:hAnsi="Calibri" w:eastAsia="宋体" w:cs="Times New Roman"/>
                <w:b/>
              </w:rPr>
            </w:pPr>
            <w:r>
              <w:rPr>
                <w:rFonts w:hint="eastAsia" w:ascii="华文仿宋" w:hAnsi="华文仿宋" w:eastAsia="华文仿宋" w:cs="华文仿宋"/>
                <w:b/>
                <w:sz w:val="24"/>
                <w:szCs w:val="24"/>
                <w:lang w:val="en-US" w:eastAsia="zh-CN"/>
              </w:rPr>
              <w:t>建议二</w:t>
            </w:r>
          </w:p>
        </w:tc>
        <w:tc>
          <w:tcPr>
            <w:tcW w:w="5819" w:type="dxa"/>
            <w:gridSpan w:val="3"/>
            <w:vAlign w:val="center"/>
          </w:tcPr>
          <w:p>
            <w:pPr>
              <w:spacing w:line="400" w:lineRule="exact"/>
              <w:rPr>
                <w:rFonts w:hint="eastAsia" w:ascii="华文仿宋" w:hAnsi="华文仿宋" w:eastAsia="华文仿宋" w:cs="华文仿宋"/>
                <w:b/>
                <w:sz w:val="24"/>
                <w:szCs w:val="24"/>
              </w:rPr>
            </w:pPr>
            <w:r>
              <w:rPr>
                <w:rFonts w:hint="eastAsia"/>
                <w:lang w:val="zh-CN" w:eastAsia="zh-CN"/>
              </w:rPr>
              <w:t>建立更开放、灵活的专利共享、许可机制。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spacing w:line="400" w:lineRule="exact"/>
              <w:jc w:val="center"/>
              <w:rPr>
                <w:rFonts w:ascii="Calibri" w:hAnsi="Calibri" w:eastAsia="宋体" w:cs="Times New Roman"/>
                <w:b/>
              </w:rPr>
            </w:pPr>
          </w:p>
        </w:tc>
        <w:tc>
          <w:tcPr>
            <w:tcW w:w="2118" w:type="dxa"/>
            <w:gridSpan w:val="2"/>
            <w:vAlign w:val="center"/>
          </w:tcPr>
          <w:p>
            <w:pPr>
              <w:spacing w:line="400" w:lineRule="exact"/>
              <w:jc w:val="center"/>
              <w:rPr>
                <w:rFonts w:ascii="宋体" w:hAnsi="宋体" w:eastAsia="宋体" w:cs="Times New Roman"/>
                <w:b/>
                <w:sz w:val="24"/>
                <w:szCs w:val="24"/>
              </w:rPr>
            </w:pPr>
            <w:r>
              <w:rPr>
                <w:rFonts w:hint="eastAsia" w:ascii="华文仿宋" w:hAnsi="华文仿宋" w:eastAsia="华文仿宋" w:cs="华文仿宋"/>
                <w:b/>
                <w:sz w:val="24"/>
                <w:szCs w:val="24"/>
              </w:rPr>
              <w:t>当年完成的事项</w:t>
            </w:r>
          </w:p>
        </w:tc>
        <w:tc>
          <w:tcPr>
            <w:tcW w:w="5819" w:type="dxa"/>
            <w:gridSpan w:val="3"/>
            <w:vAlign w:val="center"/>
          </w:tcPr>
          <w:p>
            <w:pPr>
              <w:spacing w:line="400" w:lineRule="exact"/>
              <w:rPr>
                <w:rFonts w:hint="eastAsia" w:ascii="华文仿宋" w:hAnsi="华文仿宋" w:eastAsia="华文仿宋" w:cs="华文仿宋"/>
                <w:b/>
                <w:sz w:val="24"/>
                <w:szCs w:val="24"/>
              </w:rPr>
            </w:pPr>
            <w:r>
              <w:rPr>
                <w:rFonts w:hint="eastAsia"/>
                <w:lang w:val="en-US" w:eastAsia="zh-CN"/>
              </w:rPr>
              <w:t>市市场监督管理局联合我局督促我市高校、科研机构加快推动专利转化，要求各单位的专利及时纳入盘点范围，重点产业、优势学科的发明专利应当优先盘点，做好入库专利自评工作。各单位认真落实提升专利质量促进转化运用相关政策，通过开展专利申请前评估，进行专利低质筛查，有效避免了低质量、非正常的专利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spacing w:line="400" w:lineRule="exact"/>
              <w:ind w:firstLine="481" w:firstLineChars="200"/>
              <w:jc w:val="center"/>
              <w:rPr>
                <w:rFonts w:ascii="宋体" w:hAnsi="宋体" w:eastAsia="宋体" w:cs="Times New Roman"/>
                <w:b/>
                <w:sz w:val="24"/>
                <w:szCs w:val="24"/>
              </w:rPr>
            </w:pPr>
          </w:p>
        </w:tc>
        <w:tc>
          <w:tcPr>
            <w:tcW w:w="2118" w:type="dxa"/>
            <w:gridSpan w:val="2"/>
            <w:vAlign w:val="center"/>
          </w:tcPr>
          <w:p>
            <w:pPr>
              <w:spacing w:line="400" w:lineRule="exact"/>
              <w:jc w:val="center"/>
              <w:rPr>
                <w:rFonts w:ascii="Calibri" w:hAnsi="Calibri" w:eastAsia="宋体" w:cs="Times New Roman"/>
                <w:b/>
              </w:rPr>
            </w:pPr>
            <w:r>
              <w:rPr>
                <w:rFonts w:hint="eastAsia" w:ascii="华文仿宋" w:hAnsi="华文仿宋" w:eastAsia="华文仿宋" w:cs="华文仿宋"/>
                <w:b/>
                <w:sz w:val="24"/>
                <w:szCs w:val="24"/>
              </w:rPr>
              <w:t>当年推动的工作</w:t>
            </w:r>
          </w:p>
        </w:tc>
        <w:tc>
          <w:tcPr>
            <w:tcW w:w="5819" w:type="dxa"/>
            <w:gridSpan w:val="3"/>
            <w:vAlign w:val="center"/>
          </w:tcPr>
          <w:p>
            <w:pPr>
              <w:spacing w:line="400" w:lineRule="exact"/>
              <w:rPr>
                <w:rFonts w:hint="eastAsia" w:ascii="华文仿宋" w:hAnsi="华文仿宋" w:eastAsia="华文仿宋" w:cs="华文仿宋"/>
                <w:b/>
                <w:sz w:val="24"/>
                <w:szCs w:val="24"/>
              </w:rPr>
            </w:pPr>
            <w:r>
              <w:rPr>
                <w:rFonts w:hint="eastAsia"/>
                <w:lang w:val="en-US" w:eastAsia="zh-CN"/>
              </w:rPr>
              <w:t>我市高校、科研机构均已对专利进行存量盘点，并在国家专利导航平台完成登记入库，积极开展成果转化对接。继续推进科研机构加快推动专利转化，将成果管理“关口前移”。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spacing w:line="400" w:lineRule="exact"/>
              <w:ind w:firstLine="421" w:firstLineChars="200"/>
              <w:jc w:val="center"/>
              <w:rPr>
                <w:rFonts w:ascii="Calibri" w:hAnsi="Calibri" w:eastAsia="宋体" w:cs="Times New Roman"/>
                <w:b/>
              </w:rPr>
            </w:pPr>
          </w:p>
        </w:tc>
        <w:tc>
          <w:tcPr>
            <w:tcW w:w="2118" w:type="dxa"/>
            <w:gridSpan w:val="2"/>
            <w:vAlign w:val="center"/>
          </w:tcPr>
          <w:p>
            <w:pPr>
              <w:spacing w:line="400" w:lineRule="exact"/>
              <w:jc w:val="center"/>
              <w:rPr>
                <w:rFonts w:ascii="Calibri" w:hAnsi="Calibri" w:eastAsia="宋体" w:cs="Times New Roman"/>
                <w:b/>
              </w:rPr>
            </w:pPr>
            <w:r>
              <w:rPr>
                <w:rFonts w:hint="eastAsia" w:ascii="华文仿宋" w:hAnsi="华文仿宋" w:eastAsia="华文仿宋" w:cs="华文仿宋"/>
                <w:b/>
                <w:sz w:val="24"/>
                <w:szCs w:val="24"/>
              </w:rPr>
              <w:t>明年待落实事项</w:t>
            </w:r>
          </w:p>
        </w:tc>
        <w:tc>
          <w:tcPr>
            <w:tcW w:w="5819" w:type="dxa"/>
            <w:gridSpan w:val="3"/>
            <w:vAlign w:val="center"/>
          </w:tcPr>
          <w:p>
            <w:pPr>
              <w:spacing w:line="400" w:lineRule="exact"/>
              <w:rPr>
                <w:rFonts w:hint="default" w:ascii="华文仿宋" w:hAnsi="华文仿宋" w:eastAsia="华文仿宋" w:cs="华文仿宋"/>
                <w:b/>
                <w:sz w:val="24"/>
                <w:szCs w:val="24"/>
                <w:lang w:val="en-US" w:eastAsia="zh-CN"/>
              </w:rPr>
            </w:pPr>
            <w:r>
              <w:rPr>
                <w:lang w:val="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5" w:type="dxa"/>
            <w:vMerge w:val="continue"/>
            <w:vAlign w:val="center"/>
          </w:tcPr>
          <w:p>
            <w:pPr>
              <w:spacing w:line="400" w:lineRule="exact"/>
              <w:ind w:firstLine="421" w:firstLineChars="200"/>
              <w:jc w:val="center"/>
              <w:rPr>
                <w:rFonts w:ascii="Calibri" w:hAnsi="Calibri" w:eastAsia="宋体" w:cs="Times New Roman"/>
                <w:b/>
              </w:rPr>
            </w:pPr>
          </w:p>
        </w:tc>
        <w:tc>
          <w:tcPr>
            <w:tcW w:w="2118" w:type="dxa"/>
            <w:gridSpan w:val="2"/>
            <w:vAlign w:val="center"/>
          </w:tcPr>
          <w:p>
            <w:pPr>
              <w:spacing w:line="400" w:lineRule="exact"/>
              <w:jc w:val="center"/>
              <w:rPr>
                <w:rFonts w:ascii="Calibri" w:hAnsi="Calibri" w:eastAsia="宋体" w:cs="Times New Roman"/>
                <w:b/>
              </w:rPr>
            </w:pPr>
            <w:r>
              <w:rPr>
                <w:rFonts w:hint="eastAsia" w:ascii="华文仿宋" w:hAnsi="华文仿宋" w:eastAsia="华文仿宋" w:cs="华文仿宋"/>
                <w:b/>
                <w:sz w:val="24"/>
                <w:szCs w:val="24"/>
              </w:rPr>
              <w:t>不能采纳原因</w:t>
            </w:r>
          </w:p>
        </w:tc>
        <w:tc>
          <w:tcPr>
            <w:tcW w:w="5819" w:type="dxa"/>
            <w:gridSpan w:val="3"/>
            <w:vAlign w:val="center"/>
          </w:tcPr>
          <w:p>
            <w:pPr>
              <w:spacing w:line="400" w:lineRule="exact"/>
              <w:jc w:val="both"/>
              <w:rPr>
                <w:rFonts w:hint="eastAsia" w:ascii="华文仿宋" w:hAnsi="华文仿宋" w:eastAsia="华文仿宋" w:cs="华文仿宋"/>
                <w:b/>
                <w:sz w:val="24"/>
                <w:szCs w:val="24"/>
              </w:rPr>
            </w:pPr>
            <w:r>
              <w:rPr>
                <w:lang w:val="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spacing w:line="400" w:lineRule="exact"/>
              <w:ind w:firstLine="421" w:firstLineChars="200"/>
              <w:jc w:val="center"/>
              <w:rPr>
                <w:rFonts w:ascii="Calibri" w:hAnsi="Calibri" w:eastAsia="宋体" w:cs="Times New Roman"/>
                <w:b/>
              </w:rPr>
            </w:pPr>
          </w:p>
        </w:tc>
        <w:tc>
          <w:tcPr>
            <w:tcW w:w="2118" w:type="dxa"/>
            <w:gridSpan w:val="2"/>
            <w:vAlign w:val="center"/>
          </w:tcPr>
          <w:p>
            <w:pPr>
              <w:spacing w:line="400" w:lineRule="exact"/>
              <w:jc w:val="center"/>
              <w:rPr>
                <w:rFonts w:ascii="Calibri" w:hAnsi="Calibri" w:eastAsia="宋体" w:cs="Times New Roman"/>
                <w:b/>
              </w:rPr>
            </w:pPr>
            <w:r>
              <w:rPr>
                <w:rFonts w:hint="eastAsia" w:ascii="华文仿宋" w:hAnsi="华文仿宋" w:eastAsia="华文仿宋" w:cs="华文仿宋"/>
                <w:b/>
                <w:sz w:val="24"/>
                <w:szCs w:val="24"/>
                <w:lang w:val="en-US" w:eastAsia="zh-CN"/>
              </w:rPr>
              <w:t>建议三</w:t>
            </w:r>
          </w:p>
        </w:tc>
        <w:tc>
          <w:tcPr>
            <w:tcW w:w="5819" w:type="dxa"/>
            <w:gridSpan w:val="3"/>
            <w:vAlign w:val="center"/>
          </w:tcPr>
          <w:p>
            <w:pPr>
              <w:spacing w:line="400" w:lineRule="exact"/>
              <w:rPr>
                <w:rFonts w:hint="eastAsia" w:ascii="华文仿宋" w:hAnsi="华文仿宋" w:eastAsia="华文仿宋" w:cs="华文仿宋"/>
                <w:b/>
                <w:sz w:val="24"/>
                <w:szCs w:val="24"/>
              </w:rPr>
            </w:pPr>
            <w:r>
              <w:rPr>
                <w:rFonts w:hint="eastAsia"/>
                <w:lang w:val="zh-CN"/>
              </w:rPr>
              <w:t>落实《科学技术进步法(2021修订)》规定的股权、期权、分红等激励措施。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585" w:type="dxa"/>
            <w:vMerge w:val="continue"/>
            <w:vAlign w:val="center"/>
          </w:tcPr>
          <w:p>
            <w:pPr>
              <w:spacing w:line="400" w:lineRule="exact"/>
              <w:jc w:val="center"/>
              <w:rPr>
                <w:rFonts w:ascii="Calibri" w:hAnsi="Calibri" w:eastAsia="宋体" w:cs="Times New Roman"/>
                <w:b/>
              </w:rPr>
            </w:pPr>
          </w:p>
        </w:tc>
        <w:tc>
          <w:tcPr>
            <w:tcW w:w="2118" w:type="dxa"/>
            <w:gridSpan w:val="2"/>
            <w:vAlign w:val="center"/>
          </w:tcPr>
          <w:p>
            <w:pPr>
              <w:spacing w:line="400" w:lineRule="exact"/>
              <w:jc w:val="center"/>
              <w:rPr>
                <w:rFonts w:ascii="宋体" w:hAnsi="宋体" w:eastAsia="宋体" w:cs="Times New Roman"/>
                <w:b/>
                <w:sz w:val="24"/>
                <w:szCs w:val="24"/>
              </w:rPr>
            </w:pPr>
            <w:r>
              <w:rPr>
                <w:rFonts w:hint="eastAsia" w:ascii="华文仿宋" w:hAnsi="华文仿宋" w:eastAsia="华文仿宋" w:cs="华文仿宋"/>
                <w:b/>
                <w:sz w:val="24"/>
                <w:szCs w:val="24"/>
              </w:rPr>
              <w:t>当年完成的事项</w:t>
            </w:r>
          </w:p>
        </w:tc>
        <w:tc>
          <w:tcPr>
            <w:tcW w:w="5819" w:type="dxa"/>
            <w:gridSpan w:val="3"/>
            <w:vAlign w:val="center"/>
          </w:tcPr>
          <w:p>
            <w:pPr>
              <w:spacing w:line="400" w:lineRule="exact"/>
              <w:rPr>
                <w:rFonts w:hint="eastAsia" w:ascii="华文仿宋" w:hAnsi="华文仿宋" w:eastAsia="华文仿宋" w:cs="华文仿宋"/>
                <w:b/>
                <w:sz w:val="24"/>
                <w:szCs w:val="24"/>
              </w:rPr>
            </w:pPr>
            <w:r>
              <w:rPr>
                <w:rFonts w:hint="eastAsia"/>
                <w:lang w:val="en-US" w:eastAsia="zh-CN"/>
              </w:rPr>
              <w:t>根据《深圳市深化职务科技成果管理改革实施方案》引导各高校、科研机构、医疗卫生机构开展赋予科研人员职务科技成果所有权或长期使用权改革。截止目前，各试点单位共确权646项成果，已实现转化511项，转化金额超2.6亿元。2025年4月，根据国家、省文件精神，市人社局会同我局、市财政局印发文件，明确了事业单位科研人员职务科技成果转化现金奖励纳入绩效工资管理有关问题及操作流程。下一步，我局将会同相关单位进一步优化相关政策，支持“政产学研协”多主体协同，促进深圳科技成果转化和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spacing w:line="400" w:lineRule="exact"/>
              <w:ind w:firstLine="481" w:firstLineChars="200"/>
              <w:jc w:val="center"/>
              <w:rPr>
                <w:rFonts w:ascii="宋体" w:hAnsi="宋体" w:eastAsia="宋体" w:cs="Times New Roman"/>
                <w:b/>
                <w:sz w:val="24"/>
                <w:szCs w:val="24"/>
              </w:rPr>
            </w:pPr>
          </w:p>
        </w:tc>
        <w:tc>
          <w:tcPr>
            <w:tcW w:w="2118" w:type="dxa"/>
            <w:gridSpan w:val="2"/>
            <w:vAlign w:val="center"/>
          </w:tcPr>
          <w:p>
            <w:pPr>
              <w:spacing w:line="400" w:lineRule="exact"/>
              <w:jc w:val="center"/>
              <w:rPr>
                <w:rFonts w:ascii="Calibri" w:hAnsi="Calibri" w:eastAsia="宋体" w:cs="Times New Roman"/>
                <w:b/>
              </w:rPr>
            </w:pPr>
            <w:r>
              <w:rPr>
                <w:rFonts w:hint="eastAsia" w:ascii="华文仿宋" w:hAnsi="华文仿宋" w:eastAsia="华文仿宋" w:cs="华文仿宋"/>
                <w:b/>
                <w:sz w:val="24"/>
                <w:szCs w:val="24"/>
              </w:rPr>
              <w:t>当年推动的工作</w:t>
            </w:r>
          </w:p>
        </w:tc>
        <w:tc>
          <w:tcPr>
            <w:tcW w:w="5819" w:type="dxa"/>
            <w:gridSpan w:val="3"/>
            <w:vAlign w:val="center"/>
          </w:tcPr>
          <w:p>
            <w:pPr>
              <w:spacing w:line="400" w:lineRule="exact"/>
              <w:rPr>
                <w:rFonts w:hint="eastAsia" w:ascii="华文仿宋" w:hAnsi="华文仿宋" w:eastAsia="华文仿宋" w:cs="华文仿宋"/>
                <w:b/>
                <w:sz w:val="24"/>
                <w:szCs w:val="24"/>
              </w:rPr>
            </w:pPr>
            <w:r>
              <w:rPr>
                <w:lang w:val="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spacing w:line="400" w:lineRule="exact"/>
              <w:ind w:firstLine="421" w:firstLineChars="200"/>
              <w:jc w:val="center"/>
              <w:rPr>
                <w:rFonts w:ascii="Calibri" w:hAnsi="Calibri" w:eastAsia="宋体" w:cs="Times New Roman"/>
                <w:b/>
              </w:rPr>
            </w:pPr>
          </w:p>
        </w:tc>
        <w:tc>
          <w:tcPr>
            <w:tcW w:w="2118" w:type="dxa"/>
            <w:gridSpan w:val="2"/>
            <w:vAlign w:val="center"/>
          </w:tcPr>
          <w:p>
            <w:pPr>
              <w:spacing w:line="400" w:lineRule="exact"/>
              <w:jc w:val="center"/>
              <w:rPr>
                <w:rFonts w:ascii="Calibri" w:hAnsi="Calibri" w:eastAsia="宋体" w:cs="Times New Roman"/>
                <w:b/>
              </w:rPr>
            </w:pPr>
            <w:r>
              <w:rPr>
                <w:rFonts w:hint="eastAsia" w:ascii="华文仿宋" w:hAnsi="华文仿宋" w:eastAsia="华文仿宋" w:cs="华文仿宋"/>
                <w:b/>
                <w:sz w:val="24"/>
                <w:szCs w:val="24"/>
              </w:rPr>
              <w:t>明年待落实事项</w:t>
            </w:r>
          </w:p>
        </w:tc>
        <w:tc>
          <w:tcPr>
            <w:tcW w:w="5819" w:type="dxa"/>
            <w:gridSpan w:val="3"/>
            <w:vAlign w:val="center"/>
          </w:tcPr>
          <w:p>
            <w:pPr>
              <w:spacing w:line="400" w:lineRule="exact"/>
              <w:rPr>
                <w:rFonts w:hint="eastAsia" w:ascii="华文仿宋" w:hAnsi="华文仿宋" w:eastAsia="华文仿宋" w:cs="华文仿宋"/>
                <w:b/>
                <w:sz w:val="24"/>
                <w:szCs w:val="24"/>
              </w:rPr>
            </w:pPr>
            <w:r>
              <w:rPr>
                <w:lang w:val="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spacing w:line="400" w:lineRule="exact"/>
              <w:ind w:firstLine="421" w:firstLineChars="200"/>
              <w:jc w:val="center"/>
              <w:rPr>
                <w:rFonts w:ascii="Calibri" w:hAnsi="Calibri" w:eastAsia="宋体" w:cs="Times New Roman"/>
                <w:b/>
              </w:rPr>
            </w:pPr>
          </w:p>
        </w:tc>
        <w:tc>
          <w:tcPr>
            <w:tcW w:w="2118" w:type="dxa"/>
            <w:gridSpan w:val="2"/>
            <w:vAlign w:val="center"/>
          </w:tcPr>
          <w:p>
            <w:pPr>
              <w:spacing w:line="400" w:lineRule="exact"/>
              <w:jc w:val="center"/>
              <w:rPr>
                <w:rFonts w:ascii="Calibri" w:hAnsi="Calibri" w:eastAsia="宋体" w:cs="Times New Roman"/>
                <w:b/>
              </w:rPr>
            </w:pPr>
            <w:r>
              <w:rPr>
                <w:rFonts w:hint="eastAsia" w:ascii="华文仿宋" w:hAnsi="华文仿宋" w:eastAsia="华文仿宋" w:cs="华文仿宋"/>
                <w:b/>
                <w:sz w:val="24"/>
                <w:szCs w:val="24"/>
              </w:rPr>
              <w:t>不能采纳原因</w:t>
            </w:r>
          </w:p>
        </w:tc>
        <w:tc>
          <w:tcPr>
            <w:tcW w:w="5819" w:type="dxa"/>
            <w:gridSpan w:val="3"/>
            <w:vAlign w:val="center"/>
          </w:tcPr>
          <w:p>
            <w:pPr>
              <w:spacing w:line="400" w:lineRule="exact"/>
              <w:jc w:val="both"/>
              <w:rPr>
                <w:rFonts w:hint="eastAsia" w:ascii="华文仿宋" w:hAnsi="华文仿宋" w:eastAsia="华文仿宋" w:cs="华文仿宋"/>
                <w:b/>
                <w:sz w:val="24"/>
                <w:szCs w:val="24"/>
              </w:rPr>
            </w:pPr>
            <w:r>
              <w:rPr>
                <w:lang w:val="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7" w:hRule="atLeast"/>
        </w:trPr>
        <w:tc>
          <w:tcPr>
            <w:tcW w:w="8522" w:type="dxa"/>
            <w:gridSpan w:val="6"/>
          </w:tcPr>
          <w:p>
            <w:pPr>
              <w:spacing w:line="400" w:lineRule="exact"/>
              <w:jc w:val="both"/>
              <w:rPr>
                <w:rFonts w:hint="eastAsia" w:ascii="华文仿宋" w:hAnsi="华文仿宋" w:eastAsia="华文仿宋" w:cs="华文仿宋"/>
                <w:b/>
                <w:bCs/>
                <w:color w:val="000000"/>
                <w:sz w:val="28"/>
                <w:szCs w:val="28"/>
                <w:lang w:val="en-US" w:eastAsia="zh-CN"/>
              </w:rPr>
            </w:pPr>
            <w:r>
              <w:rPr>
                <w:rFonts w:hint="eastAsia" w:ascii="华文仿宋" w:hAnsi="华文仿宋" w:eastAsia="华文仿宋" w:cs="华文仿宋"/>
                <w:b/>
                <w:bCs/>
                <w:color w:val="000000"/>
                <w:sz w:val="28"/>
                <w:szCs w:val="28"/>
                <w:lang w:val="en-US" w:eastAsia="zh-CN"/>
              </w:rPr>
              <w:t>答复内容</w:t>
            </w:r>
          </w:p>
          <w:p>
            <w:pPr>
              <w:spacing w:line="400" w:lineRule="exact"/>
              <w:ind w:firstLine="560" w:firstLineChars="200"/>
              <w:jc w:val="both"/>
              <w:rPr>
                <w:rFonts w:hint="eastAsia" w:ascii="华文仿宋" w:hAnsi="华文仿宋" w:eastAsia="华文仿宋" w:cs="华文仿宋"/>
                <w:color w:val="000000" w:themeColor="text1"/>
                <w:sz w:val="28"/>
                <w:szCs w:val="28"/>
                <w:lang w:val="en-US" w:eastAsia="zh-CN"/>
                <w14:textFill>
                  <w14:solidFill>
                    <w14:schemeClr w14:val="tx1"/>
                  </w14:solidFill>
                </w14:textFill>
              </w:rPr>
            </w:pPr>
          </w:p>
          <w:p>
            <w:pPr>
              <w:spacing w:line="400" w:lineRule="exact"/>
              <w:ind w:firstLine="560" w:firstLineChars="200"/>
              <w:jc w:val="both"/>
              <w:rPr>
                <w:rFonts w:hint="eastAsia" w:ascii="华文仿宋" w:hAnsi="华文仿宋" w:eastAsia="华文仿宋" w:cs="华文仿宋"/>
                <w:color w:val="000000" w:themeColor="text1"/>
                <w:sz w:val="28"/>
                <w:szCs w:val="28"/>
                <w:lang w:val="en-US" w:eastAsia="zh-CN"/>
                <w14:textFill>
                  <w14:solidFill>
                    <w14:schemeClr w14:val="tx1"/>
                  </w14:solidFill>
                </w14:textFill>
              </w:rPr>
            </w:pPr>
            <w:r>
              <w:rPr>
                <w:rFonts w:hint="eastAsia" w:ascii="华文仿宋" w:hAnsi="华文仿宋" w:eastAsia="华文仿宋" w:cs="华文仿宋"/>
                <w:color w:val="000000" w:themeColor="text1"/>
                <w:sz w:val="28"/>
                <w:szCs w:val="28"/>
                <w:lang w:val="en-US" w:eastAsia="zh-CN"/>
                <w14:textFill>
                  <w14:solidFill>
                    <w14:schemeClr w14:val="tx1"/>
                  </w14:solidFill>
                </w14:textFill>
              </w:rPr>
              <w:t>一、针对提案“重视科技成果转化服务体系建设，打造强有力的中介服务组织”建议，答复如下</w:t>
            </w:r>
          </w:p>
          <w:p>
            <w:pPr>
              <w:spacing w:line="400" w:lineRule="exact"/>
              <w:ind w:firstLine="560" w:firstLineChars="200"/>
              <w:jc w:val="both"/>
              <w:rPr>
                <w:rFonts w:hint="eastAsia" w:ascii="华文仿宋" w:hAnsi="华文仿宋" w:eastAsia="华文仿宋" w:cs="华文仿宋"/>
                <w:color w:val="000000" w:themeColor="text1"/>
                <w:sz w:val="28"/>
                <w:szCs w:val="28"/>
                <w:lang w:val="en-US" w:eastAsia="zh-CN"/>
                <w14:textFill>
                  <w14:solidFill>
                    <w14:schemeClr w14:val="tx1"/>
                  </w14:solidFill>
                </w14:textFill>
              </w:rPr>
            </w:pPr>
            <w:r>
              <w:rPr>
                <w:rFonts w:hint="eastAsia" w:ascii="华文仿宋" w:hAnsi="华文仿宋" w:eastAsia="华文仿宋" w:cs="华文仿宋"/>
                <w:color w:val="000000" w:themeColor="text1"/>
                <w:sz w:val="28"/>
                <w:szCs w:val="28"/>
                <w:lang w:val="en-US" w:eastAsia="zh-CN"/>
                <w14:textFill>
                  <w14:solidFill>
                    <w14:schemeClr w14:val="tx1"/>
                  </w14:solidFill>
                </w14:textFill>
              </w:rPr>
              <w:t>（一）关于探索专业服务业税收改革向国家申请税收改革试点，降低为科创企业服务的专业服务行业的合伙人个人所得税累进税率方面</w:t>
            </w:r>
          </w:p>
          <w:p>
            <w:pPr>
              <w:spacing w:line="400" w:lineRule="exact"/>
              <w:ind w:firstLine="560" w:firstLineChars="200"/>
              <w:jc w:val="both"/>
              <w:rPr>
                <w:rFonts w:hint="eastAsia" w:ascii="华文仿宋" w:hAnsi="华文仿宋" w:eastAsia="华文仿宋" w:cs="华文仿宋"/>
                <w:color w:val="000000" w:themeColor="text1"/>
                <w:sz w:val="28"/>
                <w:szCs w:val="28"/>
                <w:lang w:val="en-US" w:eastAsia="zh-CN"/>
                <w14:textFill>
                  <w14:solidFill>
                    <w14:schemeClr w14:val="tx1"/>
                  </w14:solidFill>
                </w14:textFill>
              </w:rPr>
            </w:pPr>
            <w:r>
              <w:rPr>
                <w:rFonts w:hint="eastAsia" w:ascii="华文仿宋" w:hAnsi="华文仿宋" w:eastAsia="华文仿宋" w:cs="华文仿宋"/>
                <w:color w:val="000000" w:themeColor="text1"/>
                <w:sz w:val="28"/>
                <w:szCs w:val="28"/>
                <w:lang w:val="en-US" w:eastAsia="zh-CN"/>
                <w14:textFill>
                  <w14:solidFill>
                    <w14:schemeClr w14:val="tx1"/>
                  </w14:solidFill>
                </w14:textFill>
              </w:rPr>
              <w:t>目前，合伙制中介服务机构个人所得税的征收管理，按照《中华人民共和国个人所得税法》等有关法律、法规、规章的规定执行。根据现行规定，合伙企业以每一个合伙人为纳税义务人，合伙企业每一纳税年度的收入总额减除成本、费用以及损失后的余额，作为投资者个人的经营所得，按照“经营所得”应税项目，适用5%～35%的五级超额累进税率，计算征收个人所得税。</w:t>
            </w:r>
          </w:p>
          <w:p>
            <w:pPr>
              <w:spacing w:line="400" w:lineRule="exact"/>
              <w:ind w:firstLine="560" w:firstLineChars="200"/>
              <w:jc w:val="both"/>
              <w:rPr>
                <w:rFonts w:hint="eastAsia" w:ascii="华文仿宋" w:hAnsi="华文仿宋" w:eastAsia="华文仿宋" w:cs="华文仿宋"/>
                <w:color w:val="000000" w:themeColor="text1"/>
                <w:sz w:val="28"/>
                <w:szCs w:val="28"/>
                <w:lang w:val="en-US" w:eastAsia="zh-CN"/>
                <w14:textFill>
                  <w14:solidFill>
                    <w14:schemeClr w14:val="tx1"/>
                  </w14:solidFill>
                </w14:textFill>
              </w:rPr>
            </w:pPr>
            <w:r>
              <w:rPr>
                <w:rFonts w:hint="eastAsia" w:ascii="华文仿宋" w:hAnsi="华文仿宋" w:eastAsia="华文仿宋" w:cs="华文仿宋"/>
                <w:color w:val="000000" w:themeColor="text1"/>
                <w:sz w:val="28"/>
                <w:szCs w:val="28"/>
                <w:lang w:val="en-US" w:eastAsia="zh-CN"/>
                <w14:textFill>
                  <w14:solidFill>
                    <w14:schemeClr w14:val="tx1"/>
                  </w14:solidFill>
                </w14:textFill>
              </w:rPr>
              <w:t>我国税法的制定、出台和解释等权力均集中在中央。根据《中华人民共和国税收征收管理法》规定，税收的开征、停征以及减税、免税、退税、补税，依照法律的规定执行；法律授权国务院规定的，依照国务院制定的行政法规的规定执行。任何机关、单位和个人不得违反法律、行政法规的规定，擅自做出税收开征、停征以及减税、免税、退税、补税和其他同税收法律、行政法规相抵触的决定。地方政府和税务机关无权对现行政策进行突破，目前也暂无针对特定行业开展个人所得税改革试点的先例。</w:t>
            </w:r>
          </w:p>
          <w:p>
            <w:pPr>
              <w:spacing w:line="400" w:lineRule="exact"/>
              <w:ind w:firstLine="560" w:firstLineChars="200"/>
              <w:jc w:val="both"/>
              <w:rPr>
                <w:rFonts w:hint="eastAsia" w:ascii="华文仿宋" w:hAnsi="华文仿宋" w:eastAsia="华文仿宋" w:cs="华文仿宋"/>
                <w:color w:val="000000" w:themeColor="text1"/>
                <w:sz w:val="28"/>
                <w:szCs w:val="28"/>
                <w:lang w:val="en-US" w:eastAsia="zh-CN"/>
                <w14:textFill>
                  <w14:solidFill>
                    <w14:schemeClr w14:val="tx1"/>
                  </w14:solidFill>
                </w14:textFill>
              </w:rPr>
            </w:pPr>
            <w:r>
              <w:rPr>
                <w:rFonts w:hint="eastAsia" w:ascii="华文仿宋" w:hAnsi="华文仿宋" w:eastAsia="华文仿宋" w:cs="华文仿宋"/>
                <w:color w:val="000000" w:themeColor="text1"/>
                <w:sz w:val="28"/>
                <w:szCs w:val="28"/>
                <w:lang w:val="en-US" w:eastAsia="zh-CN"/>
                <w14:textFill>
                  <w14:solidFill>
                    <w14:schemeClr w14:val="tx1"/>
                  </w14:solidFill>
                </w14:textFill>
              </w:rPr>
              <w:t>（二）关于通过对律师事务所合伙人的个税优惠，吸引更多司法部千名涉外律师人才落户深圳方面</w:t>
            </w:r>
          </w:p>
          <w:p>
            <w:pPr>
              <w:spacing w:line="400" w:lineRule="exact"/>
              <w:ind w:firstLine="560" w:firstLineChars="200"/>
              <w:jc w:val="both"/>
              <w:rPr>
                <w:rFonts w:hint="eastAsia" w:ascii="华文仿宋" w:hAnsi="华文仿宋" w:eastAsia="华文仿宋" w:cs="华文仿宋"/>
                <w:color w:val="000000" w:themeColor="text1"/>
                <w:sz w:val="28"/>
                <w:szCs w:val="28"/>
                <w:lang w:val="en-US" w:eastAsia="zh-CN"/>
                <w14:textFill>
                  <w14:solidFill>
                    <w14:schemeClr w14:val="tx1"/>
                  </w14:solidFill>
                </w14:textFill>
              </w:rPr>
            </w:pPr>
            <w:r>
              <w:rPr>
                <w:rFonts w:hint="eastAsia" w:ascii="华文仿宋" w:hAnsi="华文仿宋" w:eastAsia="华文仿宋" w:cs="华文仿宋"/>
                <w:color w:val="000000" w:themeColor="text1"/>
                <w:sz w:val="28"/>
                <w:szCs w:val="28"/>
                <w:lang w:val="en-US" w:eastAsia="zh-CN"/>
                <w14:textFill>
                  <w14:solidFill>
                    <w14:schemeClr w14:val="tx1"/>
                  </w14:solidFill>
                </w14:textFill>
              </w:rPr>
              <w:t>根据《关于切实加强高收入者个人所得税征管的通知》（国税发〔2011〕50号），对律师事务所、会计师事务所、税务师事务所、资产评估和房地产估价等鉴证类中介机构，不得实行核定征收个人所得税。我市律师事务所已严格实行查账征收个人所得税。地方税务部门既无权出台针对律师事务所的个人所得税优惠政策，在目前国家层面加强对中介机构个人所得税征收管理的背景下，也不宜针对中介机构实行个人所得税优惠政策。</w:t>
            </w:r>
          </w:p>
          <w:p>
            <w:pPr>
              <w:spacing w:line="400" w:lineRule="exact"/>
              <w:ind w:firstLine="560" w:firstLineChars="200"/>
              <w:jc w:val="both"/>
              <w:rPr>
                <w:rFonts w:hint="eastAsia" w:ascii="华文仿宋" w:hAnsi="华文仿宋" w:eastAsia="华文仿宋" w:cs="华文仿宋"/>
                <w:color w:val="000000" w:themeColor="text1"/>
                <w:sz w:val="28"/>
                <w:szCs w:val="28"/>
                <w:lang w:val="en-US" w:eastAsia="zh-CN"/>
                <w14:textFill>
                  <w14:solidFill>
                    <w14:schemeClr w14:val="tx1"/>
                  </w14:solidFill>
                </w14:textFill>
              </w:rPr>
            </w:pPr>
            <w:r>
              <w:rPr>
                <w:rFonts w:hint="eastAsia" w:ascii="华文仿宋" w:hAnsi="华文仿宋" w:eastAsia="华文仿宋" w:cs="华文仿宋"/>
                <w:color w:val="000000" w:themeColor="text1"/>
                <w:sz w:val="28"/>
                <w:szCs w:val="28"/>
                <w:lang w:val="en-US" w:eastAsia="zh-CN"/>
                <w14:textFill>
                  <w14:solidFill>
                    <w14:schemeClr w14:val="tx1"/>
                  </w14:solidFill>
                </w14:textFill>
              </w:rPr>
              <w:t>深圳市税务局将认真落实好现有的税收政策，优化税收营商环境，简便办税流程。同时也将持续关注律师事务所等中介服务机构个人所得税问题，适时向国家税务总局提出政策调整的意见和建议。</w:t>
            </w:r>
          </w:p>
          <w:p>
            <w:pPr>
              <w:spacing w:line="400" w:lineRule="exact"/>
              <w:ind w:firstLine="560" w:firstLineChars="200"/>
              <w:jc w:val="both"/>
              <w:rPr>
                <w:rFonts w:hint="eastAsia" w:ascii="华文仿宋" w:hAnsi="华文仿宋" w:eastAsia="华文仿宋" w:cs="华文仿宋"/>
                <w:color w:val="000000" w:themeColor="text1"/>
                <w:sz w:val="28"/>
                <w:szCs w:val="28"/>
                <w:lang w:val="en-US" w:eastAsia="zh-CN"/>
                <w14:textFill>
                  <w14:solidFill>
                    <w14:schemeClr w14:val="tx1"/>
                  </w14:solidFill>
                </w14:textFill>
              </w:rPr>
            </w:pPr>
          </w:p>
          <w:p>
            <w:pPr>
              <w:spacing w:line="400" w:lineRule="exact"/>
              <w:ind w:firstLine="560" w:firstLineChars="200"/>
              <w:jc w:val="both"/>
              <w:rPr>
                <w:rFonts w:hint="eastAsia" w:ascii="华文仿宋" w:hAnsi="华文仿宋" w:eastAsia="华文仿宋" w:cs="华文仿宋"/>
                <w:color w:val="000000" w:themeColor="text1"/>
                <w:sz w:val="28"/>
                <w:szCs w:val="28"/>
                <w:lang w:val="en-US" w:eastAsia="zh-CN"/>
                <w14:textFill>
                  <w14:solidFill>
                    <w14:schemeClr w14:val="tx1"/>
                  </w14:solidFill>
                </w14:textFill>
              </w:rPr>
            </w:pPr>
            <w:r>
              <w:rPr>
                <w:rFonts w:hint="eastAsia" w:ascii="华文仿宋" w:hAnsi="华文仿宋" w:eastAsia="华文仿宋" w:cs="华文仿宋"/>
                <w:color w:val="000000" w:themeColor="text1"/>
                <w:sz w:val="28"/>
                <w:szCs w:val="28"/>
                <w:lang w:val="en-US" w:eastAsia="zh-CN"/>
                <w14:textFill>
                  <w14:solidFill>
                    <w14:schemeClr w14:val="tx1"/>
                  </w14:solidFill>
                </w14:textFill>
              </w:rPr>
              <w:t>二、针对提案“建立更开放、灵活的专利共享、许可机制”建议，答复如下：</w:t>
            </w:r>
          </w:p>
          <w:p>
            <w:pPr>
              <w:spacing w:line="400" w:lineRule="exact"/>
              <w:ind w:firstLine="560" w:firstLineChars="200"/>
              <w:jc w:val="both"/>
              <w:rPr>
                <w:rFonts w:hint="eastAsia" w:ascii="华文仿宋" w:hAnsi="华文仿宋" w:eastAsia="华文仿宋" w:cs="华文仿宋"/>
                <w:color w:val="000000" w:themeColor="text1"/>
                <w:sz w:val="28"/>
                <w:szCs w:val="28"/>
                <w:lang w:val="en-US" w:eastAsia="zh-CN"/>
                <w14:textFill>
                  <w14:solidFill>
                    <w14:schemeClr w14:val="tx1"/>
                  </w14:solidFill>
                </w14:textFill>
              </w:rPr>
            </w:pPr>
            <w:r>
              <w:rPr>
                <w:rFonts w:hint="eastAsia" w:ascii="华文仿宋" w:hAnsi="华文仿宋" w:eastAsia="华文仿宋" w:cs="华文仿宋"/>
                <w:color w:val="000000" w:themeColor="text1"/>
                <w:sz w:val="28"/>
                <w:szCs w:val="28"/>
                <w:lang w:val="en-US" w:eastAsia="zh-CN"/>
                <w14:textFill>
                  <w14:solidFill>
                    <w14:schemeClr w14:val="tx1"/>
                  </w14:solidFill>
                </w14:textFill>
              </w:rPr>
              <w:t>近年来，市市场监督管理局联合我局督促我市高校、科研机构加快推动专利转化，要求各单位的专利及时纳入盘点范围，重点产业、优势学科的发明专利应当优先盘点，做好入库专利自评工作。各单位认真落实提升专利质量促进转化运用相关政策，坚持质量优先，将成果管理“关口前移”，通过开展专利申请前评估，进行专利低质筛查，有效避免了低质量、非正常的专利申请。目前我市高校、科研机构均已对专利进行存量盘点，并在国家专利导航平台完成登记入库，积极开展成果转化对接。</w:t>
            </w:r>
          </w:p>
          <w:p>
            <w:pPr>
              <w:spacing w:line="400" w:lineRule="exact"/>
              <w:ind w:firstLine="560" w:firstLineChars="200"/>
              <w:jc w:val="both"/>
              <w:rPr>
                <w:rFonts w:hint="eastAsia" w:ascii="华文仿宋" w:hAnsi="华文仿宋" w:eastAsia="华文仿宋" w:cs="华文仿宋"/>
                <w:color w:val="000000" w:themeColor="text1"/>
                <w:sz w:val="28"/>
                <w:szCs w:val="28"/>
                <w:lang w:val="en-US" w:eastAsia="zh-CN"/>
                <w14:textFill>
                  <w14:solidFill>
                    <w14:schemeClr w14:val="tx1"/>
                  </w14:solidFill>
                </w14:textFill>
              </w:rPr>
            </w:pPr>
            <w:r>
              <w:rPr>
                <w:rFonts w:hint="eastAsia" w:ascii="华文仿宋" w:hAnsi="华文仿宋" w:eastAsia="华文仿宋" w:cs="华文仿宋"/>
                <w:color w:val="000000" w:themeColor="text1"/>
                <w:sz w:val="28"/>
                <w:szCs w:val="28"/>
                <w:lang w:val="en-US" w:eastAsia="zh-CN"/>
                <w14:textFill>
                  <w14:solidFill>
                    <w14:schemeClr w14:val="tx1"/>
                  </w14:solidFill>
                </w14:textFill>
              </w:rPr>
              <w:t>各高校、科研机构积极筛选实用性强、应用领域广泛、适宜多地实施的专利进行开放许可，按照“先使用后付费”方式把专利成果许可给中小微企业使用，提高专利转化运用效率。同时，各高校、科研机构建立健全以产业化前景分析为核心的专利申请前评估制度，培育更多符合产业需求的高价值专利，根据企业反馈的技术改进需求和产学研合作意愿，进一步加大研发力度，对相关专利技术进行改进，或者与企业联合攻关，开展订单式研发或者投放式创新，布局更多符合产业需求的高价值专利。</w:t>
            </w:r>
          </w:p>
          <w:p>
            <w:pPr>
              <w:spacing w:line="400" w:lineRule="exact"/>
              <w:ind w:firstLine="560" w:firstLineChars="200"/>
              <w:jc w:val="both"/>
              <w:rPr>
                <w:rFonts w:hint="eastAsia" w:ascii="华文仿宋" w:hAnsi="华文仿宋" w:eastAsia="华文仿宋" w:cs="华文仿宋"/>
                <w:color w:val="000000" w:themeColor="text1"/>
                <w:sz w:val="28"/>
                <w:szCs w:val="28"/>
                <w:lang w:val="en-US" w:eastAsia="zh-CN"/>
                <w14:textFill>
                  <w14:solidFill>
                    <w14:schemeClr w14:val="tx1"/>
                  </w14:solidFill>
                </w14:textFill>
              </w:rPr>
            </w:pPr>
          </w:p>
          <w:p>
            <w:pPr>
              <w:spacing w:line="400" w:lineRule="exact"/>
              <w:ind w:firstLine="560" w:firstLineChars="200"/>
              <w:jc w:val="both"/>
              <w:rPr>
                <w:rFonts w:hint="eastAsia" w:ascii="华文仿宋" w:hAnsi="华文仿宋" w:eastAsia="华文仿宋" w:cs="华文仿宋"/>
                <w:color w:val="000000" w:themeColor="text1"/>
                <w:sz w:val="28"/>
                <w:szCs w:val="28"/>
                <w:lang w:val="en-US" w:eastAsia="zh-CN"/>
                <w14:textFill>
                  <w14:solidFill>
                    <w14:schemeClr w14:val="tx1"/>
                  </w14:solidFill>
                </w14:textFill>
              </w:rPr>
            </w:pPr>
            <w:r>
              <w:rPr>
                <w:rFonts w:hint="eastAsia" w:ascii="华文仿宋" w:hAnsi="华文仿宋" w:eastAsia="华文仿宋" w:cs="华文仿宋"/>
                <w:color w:val="000000" w:themeColor="text1"/>
                <w:sz w:val="28"/>
                <w:szCs w:val="28"/>
                <w:lang w:val="en-US" w:eastAsia="zh-CN"/>
                <w14:textFill>
                  <w14:solidFill>
                    <w14:schemeClr w14:val="tx1"/>
                  </w14:solidFill>
                </w14:textFill>
              </w:rPr>
              <w:t>三、针对提案“落实《科学技术进步法(2021修订)》规定的股权、期权、分红等激励措施”建议，答复如下：</w:t>
            </w:r>
          </w:p>
          <w:p>
            <w:pPr>
              <w:spacing w:line="400" w:lineRule="exact"/>
              <w:ind w:firstLine="560" w:firstLineChars="200"/>
              <w:jc w:val="both"/>
              <w:rPr>
                <w:rFonts w:hint="eastAsia" w:ascii="华文仿宋" w:hAnsi="华文仿宋" w:eastAsia="华文仿宋" w:cs="华文仿宋"/>
                <w:color w:val="000000" w:themeColor="text1"/>
                <w:sz w:val="28"/>
                <w:szCs w:val="28"/>
                <w:lang w:val="en-US" w:eastAsia="zh-CN"/>
                <w14:textFill>
                  <w14:solidFill>
                    <w14:schemeClr w14:val="tx1"/>
                  </w14:solidFill>
                </w14:textFill>
              </w:rPr>
            </w:pPr>
            <w:r>
              <w:rPr>
                <w:rFonts w:hint="eastAsia" w:ascii="华文仿宋" w:hAnsi="华文仿宋" w:eastAsia="华文仿宋" w:cs="华文仿宋"/>
                <w:color w:val="000000" w:themeColor="text1"/>
                <w:sz w:val="28"/>
                <w:szCs w:val="28"/>
                <w:lang w:val="en-US" w:eastAsia="zh-CN"/>
                <w14:textFill>
                  <w14:solidFill>
                    <w14:schemeClr w14:val="tx1"/>
                  </w14:solidFill>
                </w14:textFill>
              </w:rPr>
              <w:t>2024年8月1日印发实施的《深圳市深化职务科技成果管理改革实施方案》，引导各高校、科研机构、医疗卫生机构开展赋予科研人员职务科技成果所有权或长期使用权改革。试点单位可将利用财政性资金形成或接受企业、其他社会组织委托形成的归单位所有的职务科技成果所有权赋予成果完成人（团队），试点单位与成果完成人（团队）可以约定共同共有或者按份共有。其中，约定按份共有的，成果完成人（团队）持有的份额不低于百分之七十。对于已完成赋权的成果，试点单位可与成果完成人（团队）对各自所持有的成果份额以不同的方式向同一主体转化。鼓励试点单位将所持份额转让给成果完成人（团队）。同时，试点单位可赋予成果完成人（团队）不低于十年的职务科技成果长期使用权。成果完成人（团队）应向单位申请并提交成果转化实施方案，单独或与其他单位共同实施该项科技成果转化。试点单位进行审批并在单位内公示，鼓励试点单位同时在本市注册的国家知识产权和科技成果产权交易机构内公示，公示期不少于15日。各试点单位积极响应，制定了成果转化管理办法和实施细则，明确了操作流程，科技成果转化成效显著。截止目前，各试点单位共确权646项成果，已实现转化511项，转化金额超2.6亿元。</w:t>
            </w:r>
          </w:p>
          <w:p>
            <w:pPr>
              <w:spacing w:line="400" w:lineRule="exact"/>
              <w:ind w:firstLine="560" w:firstLineChars="200"/>
              <w:jc w:val="both"/>
              <w:rPr>
                <w:rFonts w:hint="eastAsia" w:ascii="华文仿宋" w:hAnsi="华文仿宋" w:eastAsia="华文仿宋" w:cs="华文仿宋"/>
                <w:color w:val="000000" w:themeColor="text1"/>
                <w:sz w:val="28"/>
                <w:szCs w:val="28"/>
                <w:lang w:val="en-US" w:eastAsia="zh-CN"/>
                <w14:textFill>
                  <w14:solidFill>
                    <w14:schemeClr w14:val="tx1"/>
                  </w14:solidFill>
                </w14:textFill>
              </w:rPr>
            </w:pPr>
            <w:r>
              <w:rPr>
                <w:rFonts w:hint="eastAsia" w:ascii="华文仿宋" w:hAnsi="华文仿宋" w:eastAsia="华文仿宋" w:cs="华文仿宋"/>
                <w:color w:val="000000" w:themeColor="text1"/>
                <w:sz w:val="28"/>
                <w:szCs w:val="28"/>
                <w:lang w:val="en-US" w:eastAsia="zh-CN"/>
                <w14:textFill>
                  <w14:solidFill>
                    <w14:schemeClr w14:val="tx1"/>
                  </w14:solidFill>
                </w14:textFill>
              </w:rPr>
              <w:t>2025年4月，根据国家、省文件精神，市人社局会同我局、市财政局印发文件，明确了事业单位科研人员职务科技成果转化现金奖励纳入绩效工资管理有关问题及操作流程。职务科技成果转化后，科技成果完成单位按规定对完成、转化该项成果做出重要贡献人员给予的现金奖励，计入所在单位绩效工资总量，但不受核定的绩效工资总量限制。</w:t>
            </w:r>
          </w:p>
          <w:p>
            <w:pPr>
              <w:spacing w:line="400" w:lineRule="exact"/>
              <w:ind w:firstLine="560" w:firstLineChars="200"/>
              <w:jc w:val="both"/>
              <w:rPr>
                <w:rFonts w:hint="eastAsia" w:ascii="华文仿宋" w:hAnsi="华文仿宋" w:eastAsia="华文仿宋" w:cs="华文仿宋"/>
                <w:color w:val="000000" w:themeColor="text1"/>
                <w:sz w:val="28"/>
                <w:szCs w:val="28"/>
                <w:lang w:val="en-US" w:eastAsia="zh-CN"/>
                <w14:textFill>
                  <w14:solidFill>
                    <w14:schemeClr w14:val="tx1"/>
                  </w14:solidFill>
                </w14:textFill>
              </w:rPr>
            </w:pPr>
            <w:r>
              <w:rPr>
                <w:rFonts w:hint="eastAsia" w:ascii="华文仿宋" w:hAnsi="华文仿宋" w:eastAsia="华文仿宋" w:cs="华文仿宋"/>
                <w:color w:val="000000" w:themeColor="text1"/>
                <w:sz w:val="28"/>
                <w:szCs w:val="28"/>
                <w:lang w:val="en-US" w:eastAsia="zh-CN"/>
                <w14:textFill>
                  <w14:solidFill>
                    <w14:schemeClr w14:val="tx1"/>
                  </w14:solidFill>
                </w14:textFill>
              </w:rPr>
              <w:t>下一步，我局将会同相关单位进一步优化相关政策，支持“政产学研协”多主体协同，促进深圳科技成果转化和产业化。</w:t>
            </w:r>
            <w:r>
              <w:rPr>
                <w:rFonts w:hint="eastAsia" w:ascii="华文仿宋" w:hAnsi="华文仿宋" w:eastAsia="华文仿宋" w:cs="华文仿宋"/>
                <w:color w:val="000000" w:themeColor="text1"/>
                <w:sz w:val="28"/>
                <w:szCs w:val="28"/>
                <w:lang w:val="en-US" w:eastAsia="zh-CN"/>
                <w14:textFill>
                  <w14:solidFill>
                    <w14:schemeClr w14:val="tx1"/>
                  </w14:solidFill>
                </w14:textFill>
              </w:rPr>
              <w:br w:type="textWrapping"/>
            </w:r>
            <w:r>
              <w:rPr>
                <w:rFonts w:hint="eastAsia" w:ascii="华文仿宋" w:hAnsi="华文仿宋" w:eastAsia="华文仿宋" w:cs="华文仿宋"/>
                <w:color w:val="000000" w:themeColor="text1"/>
                <w:sz w:val="28"/>
                <w:szCs w:val="28"/>
                <w:lang w:val="en-US" w:eastAsia="zh-CN"/>
                <w14:textFill>
                  <w14:solidFill>
                    <w14:schemeClr w14:val="tx1"/>
                  </w14:solidFill>
                </w14:textFill>
              </w:rPr>
              <w:t>　　　　</w:t>
            </w:r>
          </w:p>
          <w:p>
            <w:pPr>
              <w:spacing w:line="400" w:lineRule="exact"/>
              <w:rPr>
                <w:rFonts w:ascii="宋体" w:hAnsi="宋体" w:eastAsia="宋体" w:cs="Times New Roman"/>
                <w:bCs/>
                <w:color w:val="000000"/>
                <w:sz w:val="24"/>
                <w:szCs w:val="24"/>
              </w:rPr>
            </w:pPr>
          </w:p>
          <w:p>
            <w:pPr>
              <w:spacing w:line="400" w:lineRule="exact"/>
              <w:jc w:val="both"/>
              <w:rPr>
                <w:rFonts w:hint="default" w:ascii="宋体" w:hAnsi="宋体" w:eastAsia="宋体" w:cs="Times New Roman"/>
                <w:b/>
                <w:color w:val="000000"/>
                <w:sz w:val="24"/>
                <w:szCs w:val="24"/>
                <w:lang w:val="en-US" w:eastAsia="zh-CN"/>
              </w:rPr>
            </w:pPr>
            <w:r>
              <w:rPr>
                <w:rFonts w:hint="eastAsia" w:ascii="宋体" w:hAnsi="宋体" w:eastAsia="宋体" w:cs="Times New Roman"/>
                <w:bCs/>
                <w:color w:val="000000"/>
                <w:sz w:val="24"/>
                <w:szCs w:val="24"/>
              </w:rPr>
              <w:t xml:space="preserve">         </w:t>
            </w:r>
            <w:r>
              <w:rPr>
                <w:rFonts w:hint="eastAsia" w:ascii="宋体" w:hAnsi="宋体" w:eastAsia="宋体" w:cs="Times New Roman"/>
                <w:bCs/>
                <w:color w:val="000000"/>
                <w:sz w:val="24"/>
                <w:szCs w:val="24"/>
                <w:lang w:val="en-US" w:eastAsia="zh-CN"/>
              </w:rPr>
              <w:t xml:space="preserve">                                    </w:t>
            </w:r>
            <w:r>
              <w:rPr>
                <w:rFonts w:hint="eastAsia" w:ascii="华文仿宋" w:hAnsi="华文仿宋" w:eastAsia="华文仿宋" w:cs="华文仿宋"/>
                <w:b/>
                <w:bCs/>
                <w:color w:val="000000"/>
                <w:sz w:val="28"/>
                <w:szCs w:val="28"/>
                <w:lang w:val="en-US" w:eastAsia="zh-CN"/>
              </w:rPr>
              <w:t>是否公开：</w:t>
            </w:r>
            <w:bookmarkStart w:id="0" w:name="_GoBack"/>
            <w:bookmarkEnd w:id="0"/>
            <w:r>
              <w:rPr>
                <w:rFonts w:hint="eastAsia" w:ascii="华文仿宋" w:hAnsi="华文仿宋" w:eastAsia="华文仿宋" w:cs="华文仿宋"/>
                <w:color w:val="000000" w:themeColor="text1"/>
                <w:sz w:val="28"/>
                <w:szCs w:val="28"/>
                <w:lang w:val="en-US" w:eastAsia="zh-CN"/>
                <w14:textFill>
                  <w14:solidFill>
                    <w14:schemeClr w14:val="tx1"/>
                  </w14:solidFill>
                </w14:textFill>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8522" w:type="dxa"/>
            <w:gridSpan w:val="6"/>
          </w:tcPr>
          <w:p>
            <w:pPr>
              <w:spacing w:line="400" w:lineRule="exact"/>
              <w:rPr>
                <w:rFonts w:hint="eastAsia" w:ascii="华文仿宋" w:hAnsi="华文仿宋" w:eastAsia="华文仿宋" w:cs="华文仿宋"/>
                <w:b/>
                <w:bCs/>
                <w:color w:val="000000"/>
                <w:sz w:val="28"/>
                <w:szCs w:val="28"/>
                <w:lang w:val="en-US" w:eastAsia="zh-CN"/>
              </w:rPr>
            </w:pPr>
            <w:r>
              <w:rPr>
                <w:rFonts w:hint="eastAsia" w:ascii="华文仿宋" w:hAnsi="华文仿宋" w:eastAsia="华文仿宋" w:cs="华文仿宋"/>
                <w:b/>
                <w:bCs/>
                <w:color w:val="000000"/>
                <w:sz w:val="28"/>
                <w:szCs w:val="28"/>
                <w:lang w:val="en-US" w:eastAsia="zh-CN"/>
              </w:rPr>
              <w:t>办理实效评估类别</w:t>
            </w:r>
          </w:p>
          <w:p>
            <w:pPr>
              <w:spacing w:line="400" w:lineRule="exact"/>
              <w:rPr>
                <w:rFonts w:ascii="宋体" w:hAnsi="宋体" w:eastAsia="宋体" w:cs="Times New Roman"/>
                <w:color w:val="000000"/>
                <w:sz w:val="24"/>
                <w:szCs w:val="24"/>
                <w:u w:val="single"/>
              </w:rPr>
            </w:pPr>
            <w:r>
              <w:rPr>
                <w:rFonts w:ascii="宋体" w:hAnsi="宋体" w:eastAsia="宋体" w:cs="Times New Roman"/>
                <w:color w:val="000000"/>
                <w:sz w:val="24"/>
                <w:szCs w:val="24"/>
                <w:u w:val="single"/>
              </w:rPr>
              <w:t xml:space="preserve">  </w:t>
            </w:r>
            <w:r>
              <w:rPr>
                <w:rFonts w:hint="eastAsia" w:ascii="华文仿宋" w:hAnsi="华文仿宋" w:eastAsia="华文仿宋" w:cs="华文仿宋"/>
                <w:color w:val="000000"/>
                <w:sz w:val="28"/>
                <w:szCs w:val="28"/>
                <w:u w:val="single"/>
                <w:lang w:val="en-US" w:eastAsia="zh-CN"/>
              </w:rPr>
              <w:t>A</w:t>
            </w:r>
            <w:r>
              <w:rPr>
                <w:rFonts w:ascii="宋体" w:hAnsi="宋体" w:eastAsia="宋体" w:cs="Times New Roman"/>
                <w:color w:val="000000"/>
                <w:sz w:val="24"/>
                <w:szCs w:val="24"/>
                <w:u w:val="single"/>
              </w:rPr>
              <w:t xml:space="preserve"> </w:t>
            </w:r>
            <w:r>
              <w:rPr>
                <w:rFonts w:hint="eastAsia" w:ascii="华文仿宋" w:hAnsi="华文仿宋" w:eastAsia="华文仿宋" w:cs="华文仿宋"/>
                <w:b/>
                <w:bCs/>
                <w:color w:val="000000"/>
                <w:sz w:val="28"/>
                <w:szCs w:val="28"/>
                <w:lang w:val="en-US" w:eastAsia="zh-CN"/>
              </w:rPr>
              <w:t>类</w:t>
            </w:r>
          </w:p>
          <w:p>
            <w:pPr>
              <w:spacing w:line="400" w:lineRule="exact"/>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（A类：提案所提问题已经解决或基本解决；B类：提案所提问题正在解决或已列入计划准备解决；C类：提案所提问题因受目前条件限制或其他原因需以后研究解决；D类：留作参考。）</w:t>
            </w:r>
          </w:p>
          <w:p>
            <w:pPr>
              <w:spacing w:line="400" w:lineRule="exact"/>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84" w:type="dxa"/>
            <w:gridSpan w:val="2"/>
            <w:vAlign w:val="center"/>
          </w:tcPr>
          <w:p>
            <w:pPr>
              <w:spacing w:line="400" w:lineRule="exact"/>
              <w:jc w:val="center"/>
              <w:rPr>
                <w:rFonts w:ascii="宋体" w:hAnsi="宋体" w:eastAsia="宋体" w:cs="Times New Roman"/>
                <w:b/>
                <w:color w:val="000000"/>
                <w:sz w:val="24"/>
                <w:szCs w:val="24"/>
              </w:rPr>
            </w:pPr>
            <w:r>
              <w:rPr>
                <w:rFonts w:hint="eastAsia" w:ascii="华文仿宋" w:hAnsi="华文仿宋" w:eastAsia="华文仿宋" w:cs="华文仿宋"/>
                <w:b/>
                <w:bCs/>
                <w:color w:val="000000"/>
                <w:sz w:val="28"/>
                <w:szCs w:val="28"/>
              </w:rPr>
              <w:t>联系人</w:t>
            </w:r>
          </w:p>
        </w:tc>
        <w:tc>
          <w:tcPr>
            <w:tcW w:w="2297" w:type="dxa"/>
            <w:gridSpan w:val="2"/>
            <w:vAlign w:val="center"/>
          </w:tcPr>
          <w:p>
            <w:pPr>
              <w:spacing w:line="400" w:lineRule="exact"/>
              <w:rPr>
                <w:rFonts w:hint="default" w:ascii="宋体" w:hAnsi="宋体" w:eastAsia="新宋体" w:cs="Times New Roman"/>
                <w:bCs/>
                <w:color w:val="000000"/>
                <w:sz w:val="24"/>
                <w:szCs w:val="24"/>
                <w:lang w:val="en-US" w:eastAsia="zh-CN"/>
              </w:rPr>
            </w:pPr>
            <w:r>
              <w:rPr>
                <w:rFonts w:hint="default" w:ascii="华文仿宋" w:hAnsi="华文仿宋" w:eastAsia="华文仿宋" w:cs="华文仿宋"/>
                <w:color w:val="000000" w:themeColor="text1"/>
                <w:sz w:val="28"/>
                <w:szCs w:val="28"/>
                <w:lang w:val="en-US" w:eastAsia="zh-CN"/>
                <w14:textFill>
                  <w14:solidFill>
                    <w14:schemeClr w14:val="tx1"/>
                  </w14:solidFill>
                </w14:textFill>
              </w:rPr>
              <w:t>彭真</w:t>
            </w:r>
          </w:p>
        </w:tc>
        <w:tc>
          <w:tcPr>
            <w:tcW w:w="1559" w:type="dxa"/>
            <w:vAlign w:val="center"/>
          </w:tcPr>
          <w:p>
            <w:pPr>
              <w:spacing w:line="400" w:lineRule="exact"/>
              <w:jc w:val="center"/>
              <w:rPr>
                <w:rFonts w:ascii="宋体" w:hAnsi="宋体" w:eastAsia="宋体" w:cs="Times New Roman"/>
                <w:b/>
                <w:color w:val="000000"/>
                <w:sz w:val="24"/>
                <w:szCs w:val="24"/>
              </w:rPr>
            </w:pPr>
            <w:r>
              <w:rPr>
                <w:rFonts w:hint="eastAsia" w:ascii="华文仿宋" w:hAnsi="华文仿宋" w:eastAsia="华文仿宋" w:cs="华文仿宋"/>
                <w:b/>
                <w:bCs/>
                <w:color w:val="000000"/>
                <w:sz w:val="28"/>
                <w:szCs w:val="28"/>
              </w:rPr>
              <w:t>联系电话</w:t>
            </w:r>
          </w:p>
        </w:tc>
        <w:tc>
          <w:tcPr>
            <w:tcW w:w="3282" w:type="dxa"/>
          </w:tcPr>
          <w:p>
            <w:pPr>
              <w:spacing w:line="400" w:lineRule="exact"/>
              <w:rPr>
                <w:rFonts w:hint="default" w:ascii="华文仿宋" w:hAnsi="华文仿宋" w:eastAsia="华文仿宋" w:cs="华文仿宋"/>
                <w:color w:val="000000" w:themeColor="text1"/>
                <w:sz w:val="28"/>
                <w:szCs w:val="28"/>
                <w:lang w:val="en-US" w:eastAsia="zh-CN"/>
                <w14:textFill>
                  <w14:solidFill>
                    <w14:schemeClr w14:val="tx1"/>
                  </w14:solidFill>
                </w14:textFill>
              </w:rPr>
            </w:pPr>
            <w:r>
              <w:rPr>
                <w:rFonts w:hint="default" w:ascii="华文仿宋" w:hAnsi="华文仿宋" w:eastAsia="华文仿宋" w:cs="华文仿宋"/>
                <w:color w:val="000000" w:themeColor="text1"/>
                <w:sz w:val="28"/>
                <w:szCs w:val="28"/>
                <w:lang w:val="en-US" w:eastAsia="zh-CN"/>
                <w14:textFill>
                  <w14:solidFill>
                    <w14:schemeClr w14:val="tx1"/>
                  </w14:solidFill>
                </w14:textFill>
              </w:rPr>
              <w:t>88100072</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新宋体">
    <w:altName w:val="方正书宋_GBK"/>
    <w:panose1 w:val="02010609030101010101"/>
    <w:charset w:val="86"/>
    <w:family w:val="auto"/>
    <w:pitch w:val="default"/>
    <w:sig w:usb0="00000000" w:usb1="00000000" w:usb2="0000000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EB0FF4"/>
    <w:rsid w:val="09757925"/>
    <w:rsid w:val="163B3AAD"/>
    <w:rsid w:val="19DA1F00"/>
    <w:rsid w:val="1BA56AD5"/>
    <w:rsid w:val="363810F9"/>
    <w:rsid w:val="384F8DB6"/>
    <w:rsid w:val="4068395E"/>
    <w:rsid w:val="51DD226D"/>
    <w:rsid w:val="5B234FD1"/>
    <w:rsid w:val="5B3931AB"/>
    <w:rsid w:val="71EB0FF4"/>
    <w:rsid w:val="75B34A5E"/>
    <w:rsid w:val="7CF77FDF"/>
    <w:rsid w:val="DD4E7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3300</Words>
  <Characters>3373</Characters>
  <Lines>0</Lines>
  <Paragraphs>0</Paragraphs>
  <TotalTime>0</TotalTime>
  <ScaleCrop>false</ScaleCrop>
  <LinksUpToDate>false</LinksUpToDate>
  <CharactersWithSpaces>3425</CharactersWithSpaces>
  <Application>WPS Office_11.8.2.1120_F1E327BC-269C-435d-A152-05C5408002CA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2025-06-26T23:30:00Z</dcterms:created>
  <dc:creator>shu</dc:creator>
  <cp:lastModifiedBy>彭真</cp:lastModifiedBy>
  <dcterms:modified xsi:type="dcterms:W3CDTF">2025-07-17T20:38:29Z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2052-11.8.2.1120</vt:lpwstr>
  </property>
  <property fmtid="{D5CDD505-2E9C-101B-9397-08002B2CF9AE}" pid="3" name="ICV">
    <vt:lpwstr>66AEC579837A768AC5EE7868BA56AD2D</vt:lpwstr>
  </property>
  <property fmtid="{D5CDD505-2E9C-101B-9397-08002B2CF9AE}" pid="4" name="KSOTemplateDocerSaveRecord">
    <vt:lpwstr>eyJoZGlkIjoiOWIyMDI5ZmYwODIyNmZhZGUxNDEzNzFiYWE2NTE5ZGQifQ==</vt:lpwstr>
  </property>
</Properties>
</file>