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5" w:rightChars="12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default"/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2025年度第二批深圳市训力券“服务机构入库”项目形式审查要点</w:t>
      </w:r>
    </w:p>
    <w:tbl>
      <w:tblPr>
        <w:tblStyle w:val="4"/>
        <w:tblW w:w="125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8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690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1875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审查要点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申请单位在深圳市（含深汕特别合作区）依法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、具有独立法人资格；或具备较强能力服务机构在深圳市（含深汕特别合作区）设立的分支机构。（服务机构入库、已入库服务机构新增服务事项）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具备工信部颁发的增值电信业务经营许可证IDC/ISP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。（服务机构入库）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开展算力服务的业务基础，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且能提供的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算力规模为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00P FLOPS（含）（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FP16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）以上。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（服务机构入库）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申请单位的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服务平台具备智能算力使用计量日志功能。（服务机构入库）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申请单位有明确的服务内容、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服务规范、收费标准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（服务机构入库、已入库服务机构新增服务事项）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bCs w:val="0"/>
                <w:sz w:val="21"/>
                <w:szCs w:val="21"/>
              </w:rPr>
              <w:t>不存在被限制申请财政性资金项目惩戒情形，未被列入超期未申请验收名单和超期未退款名单</w:t>
            </w:r>
            <w:r>
              <w:rPr>
                <w:rFonts w:hint="eastAsia" w:ascii="仿宋_GB2312" w:hAnsi="仿宋_GB2312" w:eastAsia="仿宋_GB2312" w:cs="仿宋_GB2312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（服务机构入库、已入库服务机构新增服务事项）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申请项目所需的附件材料齐全、符合法定形式。（服务机构入库、已入库服务机构新增服务事项）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申请项目不存在中介代为申请的情况。（服务机构入库、已入库服务机构新增服务事项）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8235"/>
    <w:rsid w:val="6AFF913C"/>
    <w:rsid w:val="7F2B8DAA"/>
    <w:rsid w:val="DFEF8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CESI仿宋-GB2312" w:cs="Arial Unicode MS"/>
      <w:color w:val="000000"/>
      <w:sz w:val="32"/>
      <w:szCs w:val="21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2025-10-11T01:03:00Z</dcterms:created>
  <dc:creator>wuyanyao</dc:creator>
  <cp:lastModifiedBy>wuyanyao</cp:lastModifiedBy>
  <dcterms:modified xsi:type="dcterms:W3CDTF">2025-10-13T14:00:53Z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9F63D5725E1F9D1CECCBE868F53278B9</vt:lpwstr>
  </property>
</Properties>
</file>