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 w:bidi="ar"/>
        </w:rPr>
      </w:pPr>
      <w:bookmarkStart w:id="0" w:name="_GoBack"/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 w:bidi="ar"/>
        </w:rPr>
        <w:t>附件</w:t>
      </w:r>
      <w:r>
        <w:rPr>
          <w:rFonts w:hint="default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 w:bidi="ar"/>
        </w:rPr>
        <w:t>5</w:t>
      </w:r>
    </w:p>
    <w:p>
      <w:pPr>
        <w:spacing w:line="560" w:lineRule="exact"/>
        <w:ind w:firstLine="0" w:firstLineChars="0"/>
        <w:jc w:val="center"/>
        <w:rPr>
          <w:rFonts w:hint="default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8"/>
          <w:szCs w:val="48"/>
          <w:lang w:val="en-US" w:eastAsia="zh-CN"/>
        </w:rPr>
        <w:t>2025年度第二批深圳市训力券形式审查要点</w:t>
      </w:r>
      <w:bookmarkEnd w:id="0"/>
    </w:p>
    <w:tbl>
      <w:tblPr>
        <w:tblStyle w:val="4"/>
        <w:tblW w:w="1380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1311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tblHeader/>
          <w:jc w:val="center"/>
        </w:trPr>
        <w:tc>
          <w:tcPr>
            <w:tcW w:w="690" w:type="dxa"/>
            <w:vAlign w:val="center"/>
          </w:tcPr>
          <w:p>
            <w:pPr>
              <w:spacing w:line="360" w:lineRule="exact"/>
              <w:ind w:right="25" w:rightChars="12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lang w:eastAsia="zh-CN"/>
              </w:rPr>
              <w:t>序号</w:t>
            </w:r>
          </w:p>
        </w:tc>
        <w:tc>
          <w:tcPr>
            <w:tcW w:w="13114" w:type="dxa"/>
            <w:vAlign w:val="center"/>
          </w:tcPr>
          <w:p>
            <w:pPr>
              <w:spacing w:line="360" w:lineRule="exact"/>
              <w:ind w:right="25" w:rightChars="12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lang w:eastAsia="zh-CN"/>
              </w:rPr>
              <w:t>审查要点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6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</w:t>
            </w:r>
          </w:p>
        </w:tc>
        <w:tc>
          <w:tcPr>
            <w:tcW w:w="131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25" w:rightChars="12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申请单位是在深圳市（含深汕特别合作区）依法经营、具有独立法人资格的企业、高等院校、科研机构。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6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2</w:t>
            </w:r>
          </w:p>
        </w:tc>
        <w:tc>
          <w:tcPr>
            <w:tcW w:w="131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25" w:rightChars="12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申请单位</w:t>
            </w:r>
            <w:r>
              <w:rPr>
                <w:rFonts w:hint="eastAsia" w:ascii="仿宋_GB2312" w:hAnsi="仿宋_GB2312" w:eastAsia="仿宋_GB2312" w:cs="仿宋_GB2312"/>
                <w:bCs w:val="0"/>
                <w:color w:val="auto"/>
                <w:sz w:val="21"/>
                <w:szCs w:val="21"/>
                <w:highlight w:val="none"/>
              </w:rPr>
              <w:t>不存在被限制申请财政性资金项目惩戒情形，未被列入超期未申请验收名单和超期未退款名单</w:t>
            </w:r>
            <w:r>
              <w:rPr>
                <w:rFonts w:hint="eastAsia" w:ascii="仿宋_GB2312" w:hAnsi="仿宋_GB2312" w:eastAsia="仿宋_GB2312" w:cs="仿宋_GB2312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；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  <w:jc w:val="center"/>
        </w:trPr>
        <w:tc>
          <w:tcPr>
            <w:tcW w:w="6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3</w:t>
            </w:r>
          </w:p>
        </w:tc>
        <w:tc>
          <w:tcPr>
            <w:tcW w:w="131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25" w:rightChars="12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申请单位能够提供符合条件的</w:t>
            </w:r>
            <w:r>
              <w:rPr>
                <w:rFonts w:hint="default" w:ascii="仿宋_GB2312" w:hAnsi="仿宋_GB2312" w:eastAsia="仿宋_GB2312" w:cs="仿宋_GB2312"/>
                <w:sz w:val="21"/>
                <w:szCs w:val="21"/>
                <w:lang w:val="en" w:eastAsia="zh-CN"/>
              </w:rPr>
              <w:t>算力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服务合同（服务合同内容包括但不限于：开展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" w:eastAsia="zh-CN"/>
              </w:rPr>
              <w:t>AI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大模型训练及应用的具体内容、收费金额；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" w:eastAsia="zh-CN"/>
              </w:rPr>
              <w:t>申请单位与第一批已入库服务机构签订的服务合同或协议时间应在2024年12月9日至2026年12月31日期间，申请单位与第二批已入库服务机构（包含新增服务事项）签订的服务合同或协议时间应在2025年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" w:eastAsia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" w:eastAsia="zh-CN"/>
              </w:rPr>
              <w:t>日至2026年12月31日期间。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" w:eastAsia="zh-CN"/>
              </w:rPr>
              <w:t>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  <w:jc w:val="center"/>
        </w:trPr>
        <w:tc>
          <w:tcPr>
            <w:tcW w:w="6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4</w:t>
            </w:r>
          </w:p>
        </w:tc>
        <w:tc>
          <w:tcPr>
            <w:tcW w:w="131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25" w:rightChars="12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申请单位的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" w:eastAsia="zh-CN"/>
              </w:rPr>
              <w:t>同一项目未获得其他智能算力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服务的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" w:eastAsia="zh-CN"/>
              </w:rPr>
              <w:t>财政资金资助，或同一项目已获得其他智能算力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服务的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" w:eastAsia="zh-CN"/>
              </w:rPr>
              <w:t>财政资金资助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且累计金额不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" w:eastAsia="zh-CN"/>
              </w:rPr>
              <w:t>超过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服务合同50%。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69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lang w:val="en" w:eastAsia="zh-CN"/>
              </w:rPr>
            </w:pPr>
            <w:r>
              <w:rPr>
                <w:rFonts w:hint="default" w:ascii="仿宋_GB2312" w:hAnsi="仿宋_GB2312" w:eastAsia="仿宋_GB2312" w:cs="仿宋_GB2312"/>
                <w:lang w:val="en" w:eastAsia="zh-CN"/>
              </w:rPr>
              <w:t>5</w:t>
            </w:r>
          </w:p>
        </w:tc>
        <w:tc>
          <w:tcPr>
            <w:tcW w:w="131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25" w:rightChars="12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申请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" w:eastAsia="zh-CN"/>
              </w:rPr>
              <w:t>单位不能同时获得训力券服务机构入库资格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和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" w:eastAsia="zh-CN"/>
              </w:rPr>
              <w:t>申领训力券。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69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lang w:val="en" w:eastAsia="zh-CN"/>
              </w:rPr>
            </w:pPr>
            <w:r>
              <w:rPr>
                <w:rFonts w:hint="default" w:ascii="仿宋_GB2312" w:hAnsi="仿宋_GB2312" w:eastAsia="仿宋_GB2312" w:cs="仿宋_GB2312"/>
                <w:lang w:val="en" w:eastAsia="zh-CN"/>
              </w:rPr>
              <w:t>6</w:t>
            </w:r>
          </w:p>
        </w:tc>
        <w:tc>
          <w:tcPr>
            <w:tcW w:w="131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25" w:rightChars="12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申请项目所需的附件材料齐全、符合法定形式。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69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lang w:val="en" w:eastAsia="zh-CN"/>
              </w:rPr>
            </w:pPr>
            <w:r>
              <w:rPr>
                <w:rFonts w:hint="default" w:ascii="仿宋_GB2312" w:hAnsi="仿宋_GB2312" w:eastAsia="仿宋_GB2312" w:cs="仿宋_GB2312"/>
                <w:lang w:val="en" w:eastAsia="zh-CN"/>
              </w:rPr>
              <w:t>7</w:t>
            </w:r>
          </w:p>
        </w:tc>
        <w:tc>
          <w:tcPr>
            <w:tcW w:w="131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25" w:rightChars="12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申请项目不存在中介代为申请的情况。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仿宋_GB2312" w:hAnsi="仿宋_GB2312" w:eastAsia="仿宋_GB2312" w:cs="仿宋_GB2312"/>
          <w:bCs/>
          <w:sz w:val="30"/>
          <w:szCs w:val="30"/>
          <w:lang w:val="en-US" w:eastAsia="zh-CN"/>
        </w:rPr>
      </w:pPr>
    </w:p>
    <w:p/>
    <w:sectPr>
      <w:pgSz w:w="16838" w:h="11906" w:orient="landscape"/>
      <w:pgMar w:top="1587" w:right="2098" w:bottom="1474" w:left="198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7A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BFC11A"/>
    <w:rsid w:val="3FBFC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楷体_GB2312" w:hAnsi="楷体_GB2312" w:eastAsia="Times New Roman" w:cs="Times New Roman"/>
      <w:color w:val="000000"/>
      <w:sz w:val="24"/>
      <w:szCs w:val="22"/>
      <w:lang w:val="en-US" w:eastAsia="zh-CN" w:bidi="ar-SA"/>
    </w:rPr>
  </w:style>
  <w:style w:type="paragraph" w:styleId="3">
    <w:name w:val="Normal (Web)"/>
    <w:basedOn w:val="1"/>
    <w:qFormat/>
    <w:uiPriority w:val="0"/>
    <w:pPr>
      <w:widowControl/>
      <w:spacing w:line="384" w:lineRule="auto"/>
      <w:jc w:val="left"/>
    </w:pPr>
    <w:rPr>
      <w:rFonts w:ascii="宋体" w:hAnsi="宋体" w:cs="宋体"/>
      <w:color w:val="333333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2025-10-10T10:21:00Z</dcterms:created>
  <dc:creator>wuyanyao</dc:creator>
  <cp:lastModifiedBy>wuyanyao</cp:lastModifiedBy>
  <dcterms:modified xsi:type="dcterms:W3CDTF">2025-10-10T10:22:21Z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2B73CF7E2E26087EB26DE8681D8CB861</vt:lpwstr>
  </property>
</Properties>
</file>