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  <w:t>深圳科创青藤成果转化服务体系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djustRightInd/>
        <w:snapToGrid/>
        <w:spacing w:before="157" w:beforeLines="50" w:after="157" w:afterLines="5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高级职业技术经理人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djustRightInd/>
        <w:snapToGrid/>
        <w:spacing w:before="157" w:beforeLines="50" w:after="157" w:afterLines="5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履职承诺书</w:t>
      </w:r>
    </w:p>
    <w:p>
      <w:pPr>
        <w:tabs>
          <w:tab w:val="left" w:pos="455"/>
        </w:tabs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www.so.com/link?m=bix3NtVFSJ4mgX/zik0RshAbijjGRigbUVJlIKZwpfS/MXGqgughd5xtSSdLn6aCcUrR7Yi2ziZpPqIgp2IEvls5MqQOxu8GtVJSWKSWWPvxZH+mDI+AHjG0Vxt8Bh5juDUTE/2s33EC8dsBAZnu6MkNS3AindROc2BE9kr27WdNohgfV0JEWo3k2oUam3pXRCn5e3s0/8efbEGVPa3tpXM1vV6MnFdSdE3KFTX3pY0+hnnvAycnqAgNzX18=" \t "https://www.so.com/_blank"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国家技术转移南方中心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），现申请参加国家技术转移南方中心（以下简称“南方中心”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）组织的高级职业技术经理人评定。如通过资格评定，本人将切实履行高级职业技术经理人职责，并郑重承诺如下：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 xml:space="preserve">1、本人在高级职业技术经理人评定过程中所提交的材料均真实、准确。 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2、作为南方中心认定的高级职业技术经理人，本人将以服务深圳科创青藤成果转化服务体系（以下简称“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科创青藤体系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”）为首要目标，自愿加入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科创青藤体系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，积极参加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科创青藤体系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 xml:space="preserve">项目库的建设与转化工作。 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3、本人将结合自身专业领域及资源优势，在南方中心的组织下，主动与深圳市科技创新种子项目库（以下简称“种子项目库”）项目进行匹配，为匹配项目提供基础创业服务、资金获得、应用场景拓展等专业化服务。本人保证每年为种子项目库贡献至少一个优秀科技早期项目，并确保项目的真实性、创新性及可行性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4、本人将围绕匹配项目与投资机构、产业链企业紧密协作，实现“技术经理人+投资机构+产业链企业”组合，共同推进项目的产业化进程，协助项目解决应用场景、融资、市场拓展等关键问题。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5、本人将积极参与南方中心及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科创青藤体系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组织的项目对接、路演、培训及交流活动，促进技术成果与产业需求有效衔接。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6、本人对参与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科创青藤体系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过程中接触或涉及的未公开项目信息、商业数据及评审资料严格保密，未经授权不得擅自披露或用于其他用途。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7、本人在参与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科创青藤体系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工作过程中，将确保履职过程客观公正。若因本人履职失当（如虚假推荐、消极履职等）导致项目损失或计划声誉受损，自愿接受中心的处理，包括但不限于通报批评、取消资格、追责等。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8、本人配合南方中心及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科创青藤体系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对高级职业技术经理人履职情况的定期考核，如实提交工作成果报告及证明材料。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承诺人（签字）：</w:t>
      </w:r>
    </w:p>
    <w:p>
      <w:pPr>
        <w:pStyle w:val="4"/>
        <w:widowControl/>
        <w:spacing w:beforeAutospacing="0" w:afterAutospacing="0" w:line="240" w:lineRule="auto"/>
        <w:ind w:firstLine="4800" w:firstLineChars="1500"/>
        <w:jc w:val="both"/>
        <w:rPr>
          <w:rFonts w:hint="default" w:ascii="仿宋_GB2312" w:hAnsi="仿宋_GB2312" w:eastAsia="仿宋_GB2312" w:cs="仿宋_GB2312"/>
          <w:i w:val="0"/>
          <w:iC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日期：     年   月 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133C"/>
    <w:rsid w:val="54EE133C"/>
    <w:rsid w:val="6BEFF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2025-08-20T15:58:00Z</dcterms:created>
  <dc:creator>李乐</dc:creator>
  <cp:lastModifiedBy>李乐</cp:lastModifiedBy>
  <dcterms:modified xsi:type="dcterms:W3CDTF">2025-08-22T14:22:55Z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26EDACE2E454446D9EF0C45A6D7A8863_11</vt:lpwstr>
  </property>
  <property fmtid="{D5CDD505-2E9C-101B-9397-08002B2CF9AE}" pid="4" name="KSOTemplateDocerSaveRecord">
    <vt:lpwstr>eyJoZGlkIjoiZWU5Nzk0NjFmZmMyNGNhNzZmN2ZmMTIwOGVhMDc4ODUiLCJ1c2VySWQiOiIxMTQ3Mzk2MzEwIn0=</vt:lpwstr>
  </property>
</Properties>
</file>