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60" w:lineRule="exact"/>
        <w:textAlignment w:val="auto"/>
        <w:rPr>
          <w:rFonts w:hint="default" w:eastAsia="仿宋_GB2312"/>
          <w:lang w:val="en-US" w:eastAsia="zh-CN"/>
        </w:rPr>
      </w:pPr>
      <w:r>
        <w:rPr>
          <w:rFonts w:hint="eastAsia"/>
        </w:rPr>
        <w:drawing>
          <wp:anchor distT="0" distB="0" distL="114300" distR="114300" simplePos="0" relativeHeight="251659264" behindDoc="1" locked="0" layoutInCell="1" allowOverlap="1">
            <wp:simplePos x="0" y="0"/>
            <wp:positionH relativeFrom="column">
              <wp:posOffset>-850265</wp:posOffset>
            </wp:positionH>
            <wp:positionV relativeFrom="paragraph">
              <wp:posOffset>-792480</wp:posOffset>
            </wp:positionV>
            <wp:extent cx="1943100" cy="863600"/>
            <wp:effectExtent l="0" t="0" r="0" b="0"/>
            <wp:wrapNone/>
            <wp:docPr id="5" name="图片 5" descr="78b352086104425687542dbef85f5c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78b352086104425687542dbef85f5c5"/>
                    <pic:cNvPicPr>
                      <a:picLocks noChangeAspect="true"/>
                    </pic:cNvPicPr>
                  </pic:nvPicPr>
                  <pic:blipFill>
                    <a:blip r:embed="rId4"/>
                    <a:stretch>
                      <a:fillRect/>
                    </a:stretch>
                  </pic:blipFill>
                  <pic:spPr>
                    <a:xfrm>
                      <a:off x="0" y="0"/>
                      <a:ext cx="1943100" cy="863600"/>
                    </a:xfrm>
                    <a:prstGeom prst="rect">
                      <a:avLst/>
                    </a:prstGeom>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w:t>科技聚光</w:t>
      </w:r>
      <w:r>
        <w:rPr>
          <w:rFonts w:hint="eastAsia" w:ascii="方正小标宋简体" w:hAnsi="方正小标宋简体" w:eastAsia="方正小标宋简体" w:cs="方正小标宋简体"/>
          <w:sz w:val="36"/>
          <w:szCs w:val="36"/>
          <w:lang w:val="en-US" w:eastAsia="zh-CN"/>
        </w:rPr>
        <w:t xml:space="preserve"> </w:t>
      </w:r>
      <w:r>
        <w:rPr>
          <w:rFonts w:hint="default" w:ascii="方正小标宋简体" w:hAnsi="方正小标宋简体" w:eastAsia="方正小标宋简体" w:cs="方正小标宋简体"/>
          <w:sz w:val="36"/>
          <w:szCs w:val="36"/>
          <w:lang w:val="en-US" w:eastAsia="zh-CN"/>
        </w:rPr>
        <w:t>金融润城</w:t>
      </w:r>
      <w:r>
        <w:rPr>
          <w:rFonts w:hint="eastAsia" w:ascii="方正小标宋简体" w:hAnsi="方正小标宋简体" w:eastAsia="方正小标宋简体" w:cs="方正小标宋简体"/>
          <w:sz w:val="36"/>
          <w:szCs w:val="36"/>
          <w:lang w:val="en-US" w:eastAsia="zh-CN"/>
        </w:rPr>
        <w:t>“深圳创投日”走进光明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南方创投网走进华星光电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超高清显示专场交流及投融资对接会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活动方案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8"/>
          <w:szCs w:val="48"/>
          <w:lang w:val="en-US" w:eastAsia="zh-CN"/>
        </w:rPr>
      </w:pPr>
      <w:bookmarkStart w:id="6" w:name="_GoBack"/>
      <w:bookmarkEnd w:id="6"/>
    </w:p>
    <w:p>
      <w:pPr>
        <w:keepNext w:val="0"/>
        <w:keepLines w:val="0"/>
        <w:pageBreakBefore w:val="0"/>
        <w:numPr>
          <w:ilvl w:val="0"/>
          <w:numId w:val="1"/>
        </w:numPr>
        <w:kinsoku/>
        <w:wordWrap/>
        <w:overflowPunct/>
        <w:topLinePunct w:val="0"/>
        <w:autoSpaceDN/>
        <w:bidi w:val="0"/>
        <w:adjustRightInd/>
        <w:spacing w:line="560" w:lineRule="exact"/>
        <w:textAlignment w:val="auto"/>
        <w:rPr>
          <w:rFonts w:hint="eastAsia" w:ascii="黑体" w:hAnsi="黑体" w:eastAsia="黑体" w:cs="黑体"/>
          <w:kern w:val="0"/>
          <w:sz w:val="28"/>
          <w:szCs w:val="28"/>
          <w:highlight w:val="none"/>
          <w:lang w:val="en-US" w:eastAsia="zh-CN" w:bidi="ar-SA"/>
        </w:rPr>
      </w:pPr>
      <w:r>
        <w:rPr>
          <w:rFonts w:hint="eastAsia" w:ascii="黑体" w:hAnsi="黑体" w:eastAsia="黑体" w:cs="黑体"/>
          <w:kern w:val="0"/>
          <w:sz w:val="28"/>
          <w:szCs w:val="28"/>
          <w:highlight w:val="none"/>
          <w:lang w:val="en-US" w:eastAsia="zh-CN" w:bidi="ar-SA"/>
        </w:rPr>
        <w:t>活动背景</w:t>
      </w:r>
    </w:p>
    <w:p>
      <w:pPr>
        <w:keepNext w:val="0"/>
        <w:keepLines w:val="0"/>
        <w:pageBreakBefore w:val="0"/>
        <w:numPr>
          <w:ilvl w:val="0"/>
          <w:numId w:val="0"/>
        </w:numPr>
        <w:kinsoku/>
        <w:wordWrap/>
        <w:overflowPunct/>
        <w:topLinePunct w:val="0"/>
        <w:autoSpaceDN/>
        <w:bidi w:val="0"/>
        <w:adjustRightInd/>
        <w:spacing w:line="560" w:lineRule="exact"/>
        <w:ind w:firstLine="600"/>
        <w:textAlignment w:val="auto"/>
        <w:rPr>
          <w:rFonts w:hint="eastAsia" w:ascii="方正仿宋_GB18030" w:hAnsi="方正仿宋_GB18030" w:eastAsia="方正仿宋_GB18030" w:cs="方正仿宋_GB18030"/>
          <w:color w:val="auto"/>
          <w:kern w:val="2"/>
          <w:sz w:val="28"/>
          <w:szCs w:val="28"/>
          <w:lang w:val="en-US" w:eastAsia="zh-CN" w:bidi="ar-SA"/>
        </w:rPr>
      </w:pPr>
      <w:r>
        <w:rPr>
          <w:rFonts w:hint="eastAsia" w:ascii="方正仿宋_GB18030" w:hAnsi="方正仿宋_GB18030" w:eastAsia="方正仿宋_GB18030" w:cs="方正仿宋_GB18030"/>
          <w:color w:val="auto"/>
          <w:kern w:val="2"/>
          <w:sz w:val="28"/>
          <w:szCs w:val="28"/>
          <w:lang w:val="en-US" w:eastAsia="zh-CN" w:bidi="ar-SA"/>
        </w:rPr>
        <w:t>“深圳创投日”是深圳市为推动创业投资更好服务全市现代产业体系升级和新质生产力发展举办的月度常态化产融对接活动。自2022年11月起已举办20场，聚集超6000家创投机构，累计实现超1000亿元规模的基金合作，以覆盖面大、传播面广、影响力强的特点引起金融市场的关注。作为广深港澳科技创新走廊的重要节点、科技产业的创新高地，深圳市光明区全力厚植经济高质量发展沃土，聚力打造科技金融示范区。2023年12月，光明区科技金融大会举办，开启科学城与科技金融深度融合的序幕，书写科技金融大文章。</w:t>
      </w:r>
    </w:p>
    <w:p>
      <w:pPr>
        <w:pStyle w:val="6"/>
        <w:keepNext w:val="0"/>
        <w:keepLines w:val="0"/>
        <w:pageBreakBefore w:val="0"/>
        <w:numPr>
          <w:ilvl w:val="0"/>
          <w:numId w:val="0"/>
        </w:numPr>
        <w:kinsoku/>
        <w:wordWrap/>
        <w:overflowPunct/>
        <w:topLinePunct w:val="0"/>
        <w:autoSpaceDN/>
        <w:bidi w:val="0"/>
        <w:adjustRightInd/>
        <w:spacing w:line="560" w:lineRule="exact"/>
        <w:ind w:firstLine="560" w:firstLineChars="200"/>
        <w:textAlignment w:val="auto"/>
        <w:rPr>
          <w:rFonts w:hint="eastAsia" w:ascii="方正仿宋_GB18030" w:hAnsi="方正仿宋_GB18030" w:eastAsia="方正仿宋_GB18030" w:cs="方正仿宋_GB18030"/>
          <w:color w:val="auto"/>
          <w:kern w:val="2"/>
          <w:sz w:val="28"/>
          <w:szCs w:val="28"/>
          <w:lang w:val="en-US" w:eastAsia="zh-CN" w:bidi="ar-SA"/>
        </w:rPr>
      </w:pPr>
      <w:r>
        <w:rPr>
          <w:rFonts w:hint="eastAsia" w:ascii="方正仿宋_GB18030" w:hAnsi="方正仿宋_GB18030" w:eastAsia="方正仿宋_GB18030" w:cs="方正仿宋_GB18030"/>
          <w:color w:val="auto"/>
          <w:kern w:val="2"/>
          <w:sz w:val="28"/>
          <w:szCs w:val="28"/>
          <w:lang w:val="en-US" w:eastAsia="zh-CN" w:bidi="ar-SA"/>
        </w:rPr>
        <w:t>《深圳市光明区支持超高清视频显示产业集群高质量发展扶持计划操作规程》等政策规划从项目融资、技术及生态建设等多方面大力支持了超高清显示产业集群高质量发展。本场活动将深度聚焦超高清显示赛道，走进液晶平板显示产业龙头企业—TCL华星光电技术有限公司，科创与资本共行，立足政策，把握机遇，展示超高清产业创新活力，搭建优质项目与优质资本的高效沟通平台。</w:t>
      </w: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方正仿宋_GB18030" w:hAnsi="方正仿宋_GB18030" w:eastAsia="方正仿宋_GB18030" w:cs="方正仿宋_GB18030"/>
          <w:color w:val="auto"/>
          <w:kern w:val="2"/>
          <w:sz w:val="28"/>
          <w:szCs w:val="28"/>
          <w:lang w:val="en-US" w:eastAsia="zh-CN" w:bidi="ar-SA"/>
        </w:rPr>
      </w:pPr>
    </w:p>
    <w:p>
      <w:pPr>
        <w:keepNext w:val="0"/>
        <w:keepLines w:val="0"/>
        <w:pageBreakBefore w:val="0"/>
        <w:numPr>
          <w:ilvl w:val="0"/>
          <w:numId w:val="1"/>
        </w:numPr>
        <w:kinsoku/>
        <w:wordWrap/>
        <w:overflowPunct/>
        <w:topLinePunct w:val="0"/>
        <w:autoSpaceDN/>
        <w:bidi w:val="0"/>
        <w:adjustRightInd/>
        <w:spacing w:line="560" w:lineRule="exact"/>
        <w:textAlignment w:val="auto"/>
        <w:rPr>
          <w:rFonts w:hint="eastAsia" w:ascii="黑体" w:hAnsi="黑体" w:eastAsia="黑体" w:cs="黑体"/>
          <w:kern w:val="0"/>
          <w:sz w:val="28"/>
          <w:szCs w:val="28"/>
          <w:highlight w:val="none"/>
          <w:lang w:val="en-US" w:eastAsia="zh-CN" w:bidi="ar-SA"/>
        </w:rPr>
      </w:pPr>
      <w:r>
        <w:rPr>
          <w:rFonts w:hint="eastAsia" w:ascii="黑体" w:hAnsi="黑体" w:eastAsia="黑体" w:cs="黑体"/>
          <w:kern w:val="0"/>
          <w:sz w:val="28"/>
          <w:szCs w:val="28"/>
          <w:highlight w:val="none"/>
          <w:lang w:val="en-US" w:eastAsia="zh-CN" w:bidi="ar-SA"/>
        </w:rPr>
        <w:t>组织机构</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主办</w:t>
      </w:r>
      <w:r>
        <w:rPr>
          <w:rFonts w:hint="eastAsia" w:ascii="仿宋_GB2312" w:hAnsi="仿宋_GB2312" w:eastAsia="仿宋_GB2312" w:cs="仿宋_GB2312"/>
          <w:b/>
          <w:bCs/>
          <w:color w:val="auto"/>
          <w:kern w:val="2"/>
          <w:sz w:val="28"/>
          <w:szCs w:val="28"/>
          <w:lang w:val="en-US" w:eastAsia="zh-Hans" w:bidi="ar-SA"/>
        </w:rPr>
        <w:t>单位：</w:t>
      </w:r>
      <w:r>
        <w:rPr>
          <w:rFonts w:hint="eastAsia" w:ascii="仿宋_GB2312" w:hAnsi="仿宋_GB2312" w:eastAsia="仿宋_GB2312" w:cs="仿宋_GB2312"/>
          <w:color w:val="auto"/>
          <w:kern w:val="2"/>
          <w:sz w:val="28"/>
          <w:szCs w:val="28"/>
          <w:lang w:val="en-US" w:eastAsia="zh-CN" w:bidi="ar-SA"/>
        </w:rPr>
        <w:t>深圳市地方金融管理局</w:t>
      </w:r>
      <w:r>
        <w:rPr>
          <w:rFonts w:hint="eastAsia" w:ascii="仿宋_GB2312" w:hAnsi="仿宋_GB2312" w:eastAsia="仿宋_GB2312" w:cs="仿宋_GB2312"/>
          <w:color w:val="auto"/>
          <w:kern w:val="2"/>
          <w:sz w:val="28"/>
          <w:szCs w:val="28"/>
          <w:lang w:val="en-US" w:eastAsia="zh-Hans" w:bidi="ar-SA"/>
        </w:rPr>
        <w:t>、深圳市科技创新局、深圳市工业和信息化局</w:t>
      </w:r>
      <w:r>
        <w:rPr>
          <w:rFonts w:hint="eastAsia" w:ascii="仿宋_GB2312" w:hAnsi="仿宋_GB2312" w:eastAsia="仿宋_GB2312" w:cs="仿宋_GB2312"/>
          <w:color w:val="auto"/>
          <w:kern w:val="2"/>
          <w:sz w:val="28"/>
          <w:szCs w:val="28"/>
          <w:lang w:val="en-US" w:eastAsia="zh-CN" w:bidi="ar-SA"/>
        </w:rPr>
        <w:t>、深圳市光明区人民政府</w:t>
      </w: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承办</w:t>
      </w:r>
      <w:r>
        <w:rPr>
          <w:rFonts w:hint="eastAsia" w:ascii="仿宋_GB2312" w:hAnsi="仿宋_GB2312" w:eastAsia="仿宋_GB2312" w:cs="仿宋_GB2312"/>
          <w:b/>
          <w:bCs/>
          <w:color w:val="auto"/>
          <w:kern w:val="2"/>
          <w:sz w:val="28"/>
          <w:szCs w:val="28"/>
          <w:lang w:val="en-US" w:eastAsia="zh-Hans" w:bidi="ar-SA"/>
        </w:rPr>
        <w:t>单位：</w:t>
      </w:r>
      <w:r>
        <w:rPr>
          <w:rFonts w:hint="eastAsia" w:ascii="仿宋_GB2312" w:hAnsi="仿宋_GB2312" w:eastAsia="仿宋_GB2312" w:cs="仿宋_GB2312"/>
          <w:color w:val="auto"/>
          <w:kern w:val="2"/>
          <w:sz w:val="28"/>
          <w:szCs w:val="28"/>
          <w:lang w:val="en-US" w:eastAsia="zh-CN" w:bidi="ar-SA"/>
        </w:rPr>
        <w:t>深圳市科技创新服务中心、</w:t>
      </w:r>
      <w:r>
        <w:rPr>
          <w:rFonts w:hint="eastAsia" w:ascii="方正仿宋_GB18030" w:hAnsi="方正仿宋_GB18030" w:eastAsia="方正仿宋_GB18030" w:cs="方正仿宋_GB18030"/>
          <w:color w:val="auto"/>
          <w:kern w:val="2"/>
          <w:sz w:val="28"/>
          <w:szCs w:val="28"/>
          <w:lang w:val="en-US" w:eastAsia="zh-CN" w:bidi="ar-SA"/>
        </w:rPr>
        <w:t>TCL华星光电技术有限公司、</w:t>
      </w:r>
      <w:r>
        <w:rPr>
          <w:rFonts w:hint="eastAsia" w:ascii="仿宋_GB2312" w:hAnsi="仿宋_GB2312" w:eastAsia="仿宋_GB2312" w:cs="仿宋_GB2312"/>
          <w:color w:val="auto"/>
          <w:kern w:val="2"/>
          <w:sz w:val="28"/>
          <w:szCs w:val="28"/>
          <w:lang w:val="en-US" w:eastAsia="zh-CN" w:bidi="ar-SA"/>
        </w:rPr>
        <w:t>南方创投网、深圳市创业投资同业公会、光明科学城创投联合会、招商银行深圳分行</w:t>
      </w: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numPr>
          <w:ilvl w:val="0"/>
          <w:numId w:val="1"/>
        </w:numPr>
        <w:kinsoku/>
        <w:wordWrap/>
        <w:overflowPunct/>
        <w:topLinePunct w:val="0"/>
        <w:autoSpaceDN/>
        <w:bidi w:val="0"/>
        <w:adjustRightInd/>
        <w:spacing w:line="560" w:lineRule="exact"/>
        <w:textAlignment w:val="auto"/>
        <w:rPr>
          <w:rFonts w:hint="default" w:ascii="黑体" w:hAnsi="黑体" w:eastAsia="黑体" w:cs="黑体"/>
          <w:kern w:val="0"/>
          <w:sz w:val="28"/>
          <w:szCs w:val="28"/>
          <w:highlight w:val="none"/>
          <w:lang w:val="en-US" w:eastAsia="zh-CN" w:bidi="ar-SA"/>
        </w:rPr>
      </w:pPr>
      <w:r>
        <w:rPr>
          <w:rFonts w:hint="eastAsia" w:ascii="黑体" w:hAnsi="黑体" w:eastAsia="黑体" w:cs="黑体"/>
          <w:kern w:val="0"/>
          <w:sz w:val="28"/>
          <w:szCs w:val="28"/>
          <w:highlight w:val="none"/>
          <w:lang w:val="en-US" w:eastAsia="zh-CN" w:bidi="ar-SA"/>
        </w:rPr>
        <w:t>活动安排</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color w:val="auto"/>
          <w:kern w:val="2"/>
          <w:sz w:val="28"/>
          <w:szCs w:val="28"/>
          <w:lang w:val="en-US" w:eastAsia="zh-CN" w:bidi="ar-SA"/>
        </w:rPr>
      </w:pPr>
      <w:r>
        <w:rPr>
          <w:rFonts w:hint="eastAsia" w:ascii="黑体" w:hAnsi="黑体" w:eastAsia="黑体" w:cs="黑体"/>
          <w:kern w:val="0"/>
          <w:sz w:val="28"/>
          <w:szCs w:val="28"/>
          <w:highlight w:val="none"/>
          <w:lang w:val="en-US" w:eastAsia="zh-CN" w:bidi="ar-SA"/>
        </w:rPr>
        <w:t>活动时间：</w:t>
      </w:r>
      <w:r>
        <w:rPr>
          <w:rFonts w:hint="eastAsia" w:ascii="仿宋_GB2312" w:hAnsi="仿宋_GB2312" w:eastAsia="仿宋_GB2312" w:cs="仿宋_GB2312"/>
          <w:color w:val="auto"/>
          <w:kern w:val="2"/>
          <w:sz w:val="28"/>
          <w:szCs w:val="28"/>
          <w:lang w:val="en-US" w:eastAsia="zh-CN" w:bidi="ar-SA"/>
        </w:rPr>
        <w:t>2024年9月19日</w:t>
      </w:r>
      <w:bookmarkStart w:id="0" w:name="hmcheck_4ef7dee26c3444fd81a9a24e66d9b9cb"/>
      <w:r>
        <w:rPr>
          <w:rFonts w:hint="eastAsia" w:ascii="仿宋_GB2312" w:hAnsi="仿宋_GB2312" w:eastAsia="仿宋_GB2312" w:cs="仿宋_GB2312"/>
          <w:color w:val="auto"/>
          <w:kern w:val="2"/>
          <w:sz w:val="28"/>
          <w:szCs w:val="28"/>
          <w:shd w:val="clear" w:fill="FFFFFF"/>
          <w:lang w:val="en-US" w:eastAsia="zh-CN" w:bidi="ar-SA"/>
        </w:rPr>
        <w:t>下午14:</w:t>
      </w:r>
      <w:bookmarkEnd w:id="0"/>
      <w:r>
        <w:rPr>
          <w:rFonts w:hint="eastAsia" w:ascii="仿宋_GB2312" w:hAnsi="仿宋_GB2312" w:eastAsia="仿宋_GB2312" w:cs="仿宋_GB2312"/>
          <w:color w:val="auto"/>
          <w:kern w:val="2"/>
          <w:sz w:val="28"/>
          <w:szCs w:val="28"/>
          <w:lang w:val="en-US" w:eastAsia="zh-CN" w:bidi="ar-SA"/>
        </w:rPr>
        <w:t>00-17:00</w:t>
      </w: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黑体" w:hAnsi="黑体" w:eastAsia="黑体" w:cs="黑体"/>
          <w:kern w:val="0"/>
          <w:sz w:val="28"/>
          <w:szCs w:val="28"/>
          <w:highlight w:val="none"/>
          <w:lang w:val="en-US" w:eastAsia="zh-CN" w:bidi="ar-SA"/>
        </w:rPr>
        <w:t>活动地点：</w:t>
      </w:r>
      <w:r>
        <w:rPr>
          <w:rFonts w:hint="eastAsia" w:ascii="方正仿宋_GB18030" w:hAnsi="方正仿宋_GB18030" w:eastAsia="方正仿宋_GB18030" w:cs="方正仿宋_GB18030"/>
          <w:color w:val="auto"/>
          <w:kern w:val="2"/>
          <w:sz w:val="28"/>
          <w:szCs w:val="28"/>
          <w:lang w:val="en-US" w:eastAsia="zh-CN" w:bidi="ar-SA"/>
        </w:rPr>
        <w:t>TCL华星光电技术有限公司</w:t>
      </w:r>
      <w:r>
        <w:rPr>
          <w:rFonts w:hint="eastAsia" w:ascii="仿宋_GB2312" w:hAnsi="仿宋_GB2312" w:eastAsia="仿宋_GB2312" w:cs="仿宋_GB2312"/>
          <w:color w:val="auto"/>
          <w:kern w:val="2"/>
          <w:sz w:val="28"/>
          <w:szCs w:val="28"/>
          <w:lang w:val="en-US" w:eastAsia="zh-CN" w:bidi="ar-SA"/>
        </w:rPr>
        <w:t>（</w:t>
      </w:r>
      <w:r>
        <w:rPr>
          <w:rFonts w:hint="default" w:ascii="仿宋_GB2312" w:hAnsi="仿宋_GB2312" w:eastAsia="仿宋_GB2312" w:cs="仿宋_GB2312"/>
          <w:color w:val="auto"/>
          <w:kern w:val="2"/>
          <w:sz w:val="28"/>
          <w:szCs w:val="28"/>
          <w:lang w:val="en-US" w:eastAsia="zh-CN" w:bidi="ar-SA"/>
        </w:rPr>
        <w:t>深圳市光明新区塘明大道9-2号</w:t>
      </w:r>
      <w:r>
        <w:rPr>
          <w:rFonts w:hint="eastAsia" w:ascii="仿宋_GB2312" w:hAnsi="仿宋_GB2312" w:eastAsia="仿宋_GB2312" w:cs="仿宋_GB2312"/>
          <w:color w:val="auto"/>
          <w:kern w:val="2"/>
          <w:sz w:val="28"/>
          <w:szCs w:val="28"/>
          <w:lang w:val="en-US" w:eastAsia="zh-CN" w:bidi="ar-SA"/>
        </w:rPr>
        <w:t>）</w:t>
      </w: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黑体" w:hAnsi="黑体" w:eastAsia="黑体" w:cs="黑体"/>
          <w:kern w:val="0"/>
          <w:sz w:val="28"/>
          <w:szCs w:val="28"/>
          <w:highlight w:val="none"/>
          <w:lang w:val="en-US" w:eastAsia="zh-CN" w:bidi="ar-SA"/>
        </w:rPr>
      </w:pPr>
      <w:r>
        <w:rPr>
          <w:rFonts w:hint="eastAsia" w:ascii="黑体" w:hAnsi="黑体" w:eastAsia="黑体" w:cs="黑体"/>
          <w:kern w:val="0"/>
          <w:sz w:val="28"/>
          <w:szCs w:val="28"/>
          <w:highlight w:val="none"/>
          <w:lang w:val="en-US" w:eastAsia="zh-CN" w:bidi="ar-SA"/>
        </w:rPr>
        <w:t>四、活动议程</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14:00-14:30 活动签到</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14:30-15:20 参观</w:t>
      </w:r>
      <w:r>
        <w:rPr>
          <w:rFonts w:hint="eastAsia" w:ascii="方正仿宋_GB18030" w:hAnsi="方正仿宋_GB18030" w:eastAsia="方正仿宋_GB18030" w:cs="方正仿宋_GB18030"/>
          <w:color w:val="auto"/>
          <w:kern w:val="2"/>
          <w:sz w:val="28"/>
          <w:szCs w:val="28"/>
          <w:lang w:val="en-US" w:eastAsia="zh-CN" w:bidi="ar-SA"/>
        </w:rPr>
        <w:t>TCL华星光电技术有限公司</w:t>
      </w:r>
      <w:r>
        <w:rPr>
          <w:rFonts w:hint="eastAsia" w:ascii="仿宋_GB2312" w:hAnsi="仿宋_GB2312" w:eastAsia="仿宋_GB2312" w:cs="仿宋_GB2312"/>
          <w:color w:val="auto"/>
          <w:kern w:val="2"/>
          <w:sz w:val="28"/>
          <w:szCs w:val="28"/>
          <w:lang w:val="en-US" w:eastAsia="zh-CN" w:bidi="ar-SA"/>
        </w:rPr>
        <w:t>（展厅+产线）</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15:20-15:35 政策推介-光明区超高清显示产业优势政策推荐</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15:35-15:50 产业分享-华星光电超高清显示产业布局与前瞻</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15:50-17:00 科创项目路演</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拟安排4-5个超高清显示领域优质科创项目带来现场展示，每个项目共有15分钟时间，其中10分钟现场展示，5分钟与投资人交流</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17:00 活动结束</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（注：由于产业类型场地要求，参观过程中请勿吸烟、拍照，同时不建议怀孕及哺乳期女士前往）</w:t>
      </w: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黑体" w:hAnsi="黑体" w:eastAsia="黑体" w:cs="黑体"/>
          <w:kern w:val="0"/>
          <w:sz w:val="28"/>
          <w:szCs w:val="28"/>
          <w:highlight w:val="none"/>
          <w:lang w:val="en-US" w:eastAsia="zh-CN" w:bidi="ar-SA"/>
        </w:rPr>
      </w:pP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黑体" w:hAnsi="黑体" w:eastAsia="黑体" w:cs="黑体"/>
          <w:kern w:val="0"/>
          <w:sz w:val="28"/>
          <w:szCs w:val="28"/>
          <w:highlight w:val="none"/>
          <w:lang w:val="en-US" w:eastAsia="zh-CN" w:bidi="ar-SA"/>
        </w:rPr>
      </w:pPr>
      <w:r>
        <w:rPr>
          <w:rFonts w:hint="eastAsia" w:ascii="黑体" w:hAnsi="黑体" w:eastAsia="黑体" w:cs="黑体"/>
          <w:kern w:val="0"/>
          <w:sz w:val="28"/>
          <w:szCs w:val="28"/>
          <w:highlight w:val="none"/>
          <w:lang w:val="en-US" w:eastAsia="zh-CN" w:bidi="ar-SA"/>
        </w:rPr>
        <w:t>五、拟邀投资机构代表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color w:val="auto"/>
          <w:kern w:val="2"/>
          <w:sz w:val="28"/>
          <w:szCs w:val="28"/>
          <w:lang w:val="en-US" w:eastAsia="zh-CN" w:bidi="ar-SA"/>
        </w:rPr>
        <w:t>拟邀来自深创投、东方富海、达晨财智、同创伟业、松禾资本、基石资本、深高新投、创东方投资、高特佳、力合创投、梅花创投、英诺天使等一线投资机构的投资人代表，致力于挖掘项目价值，最大化发挥此次南方创投网走进华星光电之超高清显示专场交流及投融资对接会活动价值。活动规模约50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numPr>
          <w:ilvl w:val="0"/>
          <w:numId w:val="0"/>
        </w:numPr>
        <w:kinsoku/>
        <w:wordWrap/>
        <w:overflowPunct/>
        <w:topLinePunct w:val="0"/>
        <w:autoSpaceDN/>
        <w:bidi w:val="0"/>
        <w:adjustRightInd/>
        <w:spacing w:line="560" w:lineRule="exact"/>
        <w:textAlignment w:val="auto"/>
        <w:rPr>
          <w:rFonts w:hint="eastAsia" w:ascii="黑体" w:hAnsi="黑体" w:eastAsia="黑体" w:cs="黑体"/>
          <w:kern w:val="0"/>
          <w:sz w:val="28"/>
          <w:szCs w:val="28"/>
          <w:highlight w:val="none"/>
          <w:lang w:val="en-US" w:eastAsia="zh-CN" w:bidi="ar-SA"/>
        </w:rPr>
      </w:pPr>
      <w:r>
        <w:rPr>
          <w:rFonts w:hint="eastAsia" w:ascii="黑体" w:hAnsi="黑体" w:eastAsia="黑体" w:cs="黑体"/>
          <w:kern w:val="0"/>
          <w:sz w:val="28"/>
          <w:szCs w:val="28"/>
          <w:highlight w:val="none"/>
          <w:lang w:val="en-US" w:eastAsia="zh-CN" w:bidi="ar-SA"/>
        </w:rPr>
        <w:t>六、分会场组织单位介绍</w:t>
      </w:r>
    </w:p>
    <w:p>
      <w:pPr>
        <w:pStyle w:val="3"/>
        <w:keepNext w:val="0"/>
        <w:keepLines w:val="0"/>
        <w:pageBreakBefore w:val="0"/>
        <w:numPr>
          <w:ilvl w:val="0"/>
          <w:numId w:val="0"/>
        </w:numPr>
        <w:kinsoku/>
        <w:wordWrap/>
        <w:overflowPunct/>
        <w:topLinePunct w:val="0"/>
        <w:autoSpaceDN/>
        <w:bidi w:val="0"/>
        <w:adjustRightIn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 w:eastAsia="zh-CN" w:bidi="ar-SA"/>
        </w:rPr>
        <w:t>1</w:t>
      </w:r>
      <w:r>
        <w:rPr>
          <w:rFonts w:hint="eastAsia" w:ascii="仿宋_GB2312" w:hAnsi="仿宋_GB2312" w:eastAsia="仿宋_GB2312" w:cs="仿宋_GB2312"/>
          <w:kern w:val="2"/>
          <w:sz w:val="28"/>
          <w:szCs w:val="28"/>
          <w:lang w:val="en" w:eastAsia="zh-CN" w:bidi="ar-SA"/>
        </w:rPr>
        <w:t>、</w:t>
      </w:r>
      <w:r>
        <w:rPr>
          <w:rFonts w:hint="eastAsia" w:ascii="仿宋_GB2312" w:hAnsi="仿宋_GB2312" w:eastAsia="仿宋_GB2312" w:cs="仿宋_GB2312"/>
          <w:kern w:val="2"/>
          <w:sz w:val="28"/>
          <w:szCs w:val="28"/>
          <w:lang w:val="en-US" w:eastAsia="zh-CN" w:bidi="ar-SA"/>
        </w:rPr>
        <w:t xml:space="preserve"> 深圳市科技创新服务中心</w:t>
      </w:r>
    </w:p>
    <w:p>
      <w:pPr>
        <w:pStyle w:val="3"/>
        <w:keepNext w:val="0"/>
        <w:keepLines w:val="0"/>
        <w:pageBreakBefore w:val="0"/>
        <w:numPr>
          <w:ilvl w:val="0"/>
          <w:numId w:val="0"/>
        </w:numPr>
        <w:kinsoku/>
        <w:wordWrap/>
        <w:overflowPunct/>
        <w:topLinePunct w:val="0"/>
        <w:autoSpaceDN/>
        <w:bidi w:val="0"/>
        <w:adjustRightInd/>
        <w:spacing w:line="560" w:lineRule="exact"/>
        <w:ind w:leftChars="0" w:firstLine="56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深圳市科技创新服务中心旨在市科创局领导下，围绕科技创新项目发展的</w:t>
      </w:r>
      <w:r>
        <w:rPr>
          <w:rFonts w:hint="eastAsia" w:ascii="仿宋_GB2312" w:hAnsi="仿宋_GB2312" w:eastAsia="仿宋_GB2312" w:cs="仿宋_GB2312"/>
          <w:color w:val="auto"/>
          <w:kern w:val="2"/>
          <w:sz w:val="28"/>
          <w:szCs w:val="28"/>
          <w:lang w:val="en-US" w:eastAsia="zh-CN" w:bidi="ar-SA"/>
        </w:rPr>
        <w:t>不同阶段提供针对性服务；面向初创期科技成果项目做好价值发现、价值评估、价值转化等服务，面向成长期科技创新项目做好资本链、产业链、人才链、创新链核心要素服务；链接深圳市各大科研院所、金融机构、行业商协会、专业服务机构等生态资源，打造具有标杆意义的深圳市科技创新生态</w:t>
      </w:r>
      <w:r>
        <w:rPr>
          <w:rFonts w:hint="eastAsia" w:ascii="仿宋_GB2312" w:hAnsi="仿宋_GB2312" w:eastAsia="仿宋_GB2312" w:cs="仿宋_GB2312"/>
          <w:kern w:val="2"/>
          <w:sz w:val="28"/>
          <w:szCs w:val="28"/>
          <w:lang w:val="en-US" w:eastAsia="zh-CN" w:bidi="ar-SA"/>
        </w:rPr>
        <w:t>服务圈，助力深圳加快形成新质生产力，加快建设具有全球重要影响力的科技创新中心。</w:t>
      </w: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r>
        <w:rPr>
          <w:rFonts w:hint="eastAsia" w:ascii="方正仿宋_GB18030" w:hAnsi="方正仿宋_GB18030" w:eastAsia="方正仿宋_GB18030" w:cs="方正仿宋_GB18030"/>
          <w:color w:val="auto"/>
          <w:kern w:val="2"/>
          <w:sz w:val="28"/>
          <w:szCs w:val="28"/>
          <w:lang w:val="en-US" w:eastAsia="zh-CN" w:bidi="ar-SA"/>
        </w:rPr>
        <w:t>TCL华星光电技术有限公司</w:t>
      </w:r>
    </w:p>
    <w:p>
      <w:pPr>
        <w:keepNext w:val="0"/>
        <w:keepLines w:val="0"/>
        <w:pageBreakBefore w:val="0"/>
        <w:kinsoku/>
        <w:wordWrap/>
        <w:overflowPunct/>
        <w:topLinePunct w:val="0"/>
        <w:autoSpaceDN/>
        <w:bidi w:val="0"/>
        <w:adjustRightInd/>
        <w:spacing w:line="560" w:lineRule="exact"/>
        <w:ind w:firstLine="560" w:firstLineChars="200"/>
        <w:textAlignment w:val="auto"/>
        <w:rPr>
          <w:rFonts w:hint="eastAsia" w:ascii="Arial" w:hAnsi="Arial" w:eastAsia="微软雅黑" w:cs="Arial"/>
          <w:sz w:val="24"/>
          <w:szCs w:val="28"/>
          <w:lang w:val="en-US" w:eastAsia="zh-CN"/>
        </w:rPr>
      </w:pPr>
      <w:r>
        <w:rPr>
          <w:rFonts w:hint="eastAsia" w:ascii="仿宋_GB2312" w:hAnsi="仿宋_GB2312" w:eastAsia="仿宋_GB2312" w:cs="仿宋_GB2312"/>
          <w:color w:val="auto"/>
          <w:kern w:val="2"/>
          <w:sz w:val="28"/>
          <w:szCs w:val="28"/>
          <w:lang w:val="en-US" w:eastAsia="zh-CN" w:bidi="ar-SA"/>
        </w:rPr>
        <w:t>TCL华星成立于2009年，是一家专注于半导体显示领域的创新型科技企业。TCL华星延续TCL集团致力于为用户带来前瞻性的科技体验和智慧健康生活的使命，愿景成为全球领先的显示解决方案提供商，并通过搭建前、中、后三大平台为高效益经营保驾护航。“PACE”是TCL华星显示技术策略的内核，它分别代表画质提升、形态创新、便利连接、健康生态四大方向。截止到2023年，TCL华星累计全球专利申请数为60880件，累计全球专利授权数为24211件。另外，TCL华星也积极参与行业标准制定和推广工作，目前已牵头发布21项、参与发布118项行业标准。与此同时，TCL华星已与三星、索尼、联想、小米、视源等国内外顶尖企业组建了联合实验室，深耕显示行业技术发展。通过构建“3+2+N”的业务布局，TCL华星致力于以全场景的产品服务赋能客户场景需求，目前已形成三大核心业务和两大新兴业务，正在探索更多应用前景的新兴业务。TCL华星围绕客户进行海外业务与产业布局，构建全球化的运营网络，服务全球市场。截止到2023年，TCL华星已建成9大面板产线和5大制造、研发基地，拥有全球第二大LCD产能和全球第一大LTPS产能，海外营收占比突破60%。TCL华星主流产品市占名列前茅，细分领域行业第一。截止到2024年一季度，电视面板市场份额稳居全球第二，55</w:t>
      </w:r>
      <w:bookmarkStart w:id="1" w:name="hmcheck_ece375dc39414b1ea5b995e3eefdb04b"/>
      <w:r>
        <w:rPr>
          <w:rFonts w:hint="eastAsia" w:ascii="仿宋_GB2312" w:hAnsi="仿宋_GB2312" w:eastAsia="仿宋_GB2312" w:cs="仿宋_GB2312"/>
          <w:color w:val="auto"/>
          <w:kern w:val="2"/>
          <w:sz w:val="28"/>
          <w:szCs w:val="28"/>
          <w:shd w:val="clear" w:fill="FFFFFF"/>
          <w:lang w:val="en-US" w:eastAsia="zh-CN" w:bidi="ar-SA"/>
        </w:rPr>
        <w:t>吋</w:t>
      </w:r>
      <w:bookmarkEnd w:id="1"/>
      <w:r>
        <w:rPr>
          <w:rFonts w:hint="eastAsia" w:ascii="仿宋_GB2312" w:hAnsi="仿宋_GB2312" w:eastAsia="仿宋_GB2312" w:cs="仿宋_GB2312"/>
          <w:color w:val="auto"/>
          <w:kern w:val="2"/>
          <w:sz w:val="28"/>
          <w:szCs w:val="28"/>
          <w:lang w:val="en-US" w:eastAsia="zh-CN" w:bidi="ar-SA"/>
        </w:rPr>
        <w:t>以上大尺寸和98</w:t>
      </w:r>
      <w:bookmarkStart w:id="2" w:name="hmcheck_3bab998b4478477da32d26be4d9fc527"/>
      <w:r>
        <w:rPr>
          <w:rFonts w:hint="eastAsia" w:ascii="仿宋_GB2312" w:hAnsi="仿宋_GB2312" w:eastAsia="仿宋_GB2312" w:cs="仿宋_GB2312"/>
          <w:color w:val="auto"/>
          <w:kern w:val="2"/>
          <w:sz w:val="28"/>
          <w:szCs w:val="28"/>
          <w:shd w:val="clear" w:fill="FFFFFF"/>
          <w:lang w:val="en-US" w:eastAsia="zh-CN" w:bidi="ar-SA"/>
        </w:rPr>
        <w:t>吋</w:t>
      </w:r>
      <w:bookmarkEnd w:id="2"/>
      <w:r>
        <w:rPr>
          <w:rFonts w:hint="eastAsia" w:ascii="仿宋_GB2312" w:hAnsi="仿宋_GB2312" w:eastAsia="仿宋_GB2312" w:cs="仿宋_GB2312"/>
          <w:color w:val="auto"/>
          <w:kern w:val="2"/>
          <w:sz w:val="28"/>
          <w:szCs w:val="28"/>
          <w:lang w:val="en-US" w:eastAsia="zh-CN" w:bidi="ar-SA"/>
        </w:rPr>
        <w:t>以上超大尺寸的面板出货量全球第一；商显产品面板出货量全球第二；桌上显示器面板出货量全球第二，电竞显示屏和超宽屏面板出货量稳居全球第一；LTPS笔电和LTPS手机面板出货量全球第二，LTPS平板出货量全球第一；柔性OLED面板出货量跻身全球第三。面板出货量遍布全球，TCL华星携手超百余名客户共向美好未来。TCL华星始终以一流的人才管理成就全球领先，目前在职员工超3.6万人，其中硕博员工占比23%，985/211院校毕业员工占比36%。通过三大核心策略、四大重点人才培养工程、内外部培养项目，助力人才养成。TCL华星始终坚持极“质”管理，实现质量领先。通过创新质量管理办法，在关键质量指标和头部客户服务评价中实现行业领先。展望未来，TCL华星将以“领先科技 和合共生”为愿景，坚定企业责任担当，努力践行ESG管理战略，打造零碳企业。</w:t>
      </w:r>
    </w:p>
    <w:p>
      <w:pPr>
        <w:pStyle w:val="3"/>
        <w:keepNext w:val="0"/>
        <w:keepLines w:val="0"/>
        <w:pageBreakBefore w:val="0"/>
        <w:numPr>
          <w:ilvl w:val="0"/>
          <w:numId w:val="0"/>
        </w:numPr>
        <w:kinsoku/>
        <w:wordWrap/>
        <w:overflowPunct/>
        <w:topLinePunct w:val="0"/>
        <w:autoSpaceDN/>
        <w:bidi w:val="0"/>
        <w:adjustRightIn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3、南方创投网</w:t>
      </w:r>
    </w:p>
    <w:p>
      <w:pPr>
        <w:keepNext w:val="0"/>
        <w:keepLines w:val="0"/>
        <w:pageBreakBefore w:val="0"/>
        <w:kinsoku/>
        <w:wordWrap/>
        <w:overflowPunct/>
        <w:topLinePunct w:val="0"/>
        <w:autoSpaceDN/>
        <w:bidi w:val="0"/>
        <w:adjustRightIn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南方创投网是深圳市科技创新局于2014年建设的国内首家由政府主导的高科技投融资服务平台，旨在为科技项目在获得政府资金资助基础上，进一步对接社会风投资本，促进高科技产业快速发展。平台聚集高科技企业及投融资机构，涵盖集成电路、人工智能、生物医疗、新材料、先进制造、电子信息等领域。南方创投网每月举办的项目路演活动，累计促成百余家企业成功获得融资，现已成为深圳高科技产业项目融资的重要活动。</w:t>
      </w:r>
    </w:p>
    <w:p>
      <w:pPr>
        <w:pStyle w:val="3"/>
        <w:keepNext w:val="0"/>
        <w:keepLines w:val="0"/>
        <w:pageBreakBefore w:val="0"/>
        <w:numPr>
          <w:ilvl w:val="0"/>
          <w:numId w:val="0"/>
        </w:numPr>
        <w:kinsoku/>
        <w:wordWrap/>
        <w:overflowPunct/>
        <w:topLinePunct w:val="0"/>
        <w:autoSpaceDN/>
        <w:bidi w:val="0"/>
        <w:adjustRightInd/>
        <w:spacing w:line="560" w:lineRule="exact"/>
        <w:ind w:left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4、深圳市创业投资同业公会</w:t>
      </w:r>
    </w:p>
    <w:p>
      <w:pPr>
        <w:keepNext w:val="0"/>
        <w:keepLines w:val="0"/>
        <w:pageBreakBefore w:val="0"/>
        <w:kinsoku/>
        <w:wordWrap/>
        <w:overflowPunct/>
        <w:topLinePunct w:val="0"/>
        <w:autoSpaceDN/>
        <w:bidi w:val="0"/>
        <w:adjustRightIn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深圳市创业投资同业公会（简称深圳创投公会）依据深圳市政府发布的《深圳市创业资本投资高新技术产业暂行规定》（深府</w:t>
      </w:r>
      <w:bookmarkStart w:id="3" w:name="hmcheck_c45a948523594a8c890b27365f307370"/>
      <w:r>
        <w:rPr>
          <w:rFonts w:hint="eastAsia" w:ascii="仿宋_GB2312" w:hAnsi="仿宋_GB2312" w:eastAsia="仿宋_GB2312" w:cs="仿宋_GB2312"/>
          <w:kern w:val="2"/>
          <w:sz w:val="28"/>
          <w:szCs w:val="28"/>
          <w:shd w:val="clear" w:fill="FFFFFF"/>
          <w:lang w:val="en-US" w:eastAsia="zh-CN" w:bidi="ar-SA"/>
        </w:rPr>
        <w:t>[2000]</w:t>
      </w:r>
      <w:bookmarkEnd w:id="3"/>
      <w:r>
        <w:rPr>
          <w:rFonts w:hint="eastAsia" w:ascii="仿宋_GB2312" w:hAnsi="仿宋_GB2312" w:eastAsia="仿宋_GB2312" w:cs="仿宋_GB2312"/>
          <w:kern w:val="2"/>
          <w:sz w:val="28"/>
          <w:szCs w:val="28"/>
          <w:lang w:val="en-US" w:eastAsia="zh-CN" w:bidi="ar-SA"/>
        </w:rPr>
        <w:t>96号令）相关规定，于2000年10月13日正式成立，是国内成立最早、最活跃、深具凝聚力和影响力的地方性创业投资行业自律组织之一。深圳创投公会会员包括优秀创投机构、创新型企业、机构出资人及相关中介服务机构等。2003年《深圳经济特区创业投资条例》专章明确了深圳创投公会的法律地位和相关职责。中共深圳市委金融委员会办公室是深圳创投公会业务主管单位，深圳市科技创新局是深圳创投公会业务指导单位。</w:t>
      </w:r>
    </w:p>
    <w:p>
      <w:pPr>
        <w:keepNext w:val="0"/>
        <w:keepLines w:val="0"/>
        <w:pageBreakBefore w:val="0"/>
        <w:numPr>
          <w:ilvl w:val="0"/>
          <w:numId w:val="0"/>
        </w:numPr>
        <w:kinsoku/>
        <w:wordWrap/>
        <w:overflowPunct/>
        <w:topLinePunct w:val="0"/>
        <w:autoSpaceDN/>
        <w:bidi w:val="0"/>
        <w:adjustRightInd/>
        <w:snapToGrid w:val="0"/>
        <w:spacing w:after="156" w:afterLines="50" w:line="560" w:lineRule="exact"/>
        <w:ind w:leftChars="0"/>
        <w:textAlignment w:val="auto"/>
        <w:rPr>
          <w:rFonts w:hint="eastAsia" w:ascii="仿宋" w:hAnsi="仿宋" w:eastAsia="仿宋" w:cs="仿宋"/>
          <w:b w:val="0"/>
          <w:bCs w:val="0"/>
          <w:sz w:val="28"/>
          <w:szCs w:val="28"/>
          <w:lang w:val="en-US" w:eastAsia="zh-CN"/>
        </w:rPr>
      </w:pPr>
      <w:r>
        <w:rPr>
          <w:rFonts w:hint="eastAsia" w:ascii="仿宋_GB2312" w:hAnsi="仿宋_GB2312" w:eastAsia="仿宋_GB2312" w:cs="仿宋_GB2312"/>
          <w:kern w:val="2"/>
          <w:sz w:val="28"/>
          <w:szCs w:val="28"/>
          <w:lang w:val="en-US" w:eastAsia="zh-CN" w:bidi="ar-SA"/>
        </w:rPr>
        <w:t>5、光明科学城创投联合会</w:t>
      </w:r>
    </w:p>
    <w:p>
      <w:pPr>
        <w:keepNext w:val="0"/>
        <w:keepLines w:val="0"/>
        <w:pageBreakBefore w:val="0"/>
        <w:kinsoku/>
        <w:wordWrap/>
        <w:overflowPunct/>
        <w:topLinePunct w:val="0"/>
        <w:autoSpaceDN/>
        <w:bidi w:val="0"/>
        <w:adjustRightIn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光明科学城创投联合会在光明区领导的指示与重视下，由深圳创投公会负责具体运营，联合会秘书处与创投公会两块牌子一套人马，旨在把握光明源头创新资源及母基金资源，为创投机构做好生态服务。目前光明科学城创投联合会已聚集深圳湾实验室、</w:t>
      </w:r>
      <w:bookmarkStart w:id="4" w:name="hmcheck_99343c8fd1e945c6a4c4ab372ce157f8"/>
      <w:r>
        <w:rPr>
          <w:rFonts w:hint="eastAsia" w:ascii="仿宋_GB2312" w:hAnsi="仿宋_GB2312" w:eastAsia="仿宋_GB2312" w:cs="仿宋_GB2312"/>
          <w:kern w:val="2"/>
          <w:sz w:val="28"/>
          <w:szCs w:val="28"/>
          <w:shd w:val="clear" w:fill="FFFFFF"/>
          <w:lang w:val="en-US" w:eastAsia="zh-CN" w:bidi="ar-SA"/>
        </w:rPr>
        <w:t>中科院</w:t>
      </w:r>
      <w:bookmarkEnd w:id="4"/>
      <w:r>
        <w:rPr>
          <w:rFonts w:hint="eastAsia" w:ascii="仿宋_GB2312" w:hAnsi="仿宋_GB2312" w:eastAsia="仿宋_GB2312" w:cs="仿宋_GB2312"/>
          <w:kern w:val="2"/>
          <w:sz w:val="28"/>
          <w:szCs w:val="28"/>
          <w:lang w:val="en-US" w:eastAsia="zh-CN" w:bidi="ar-SA"/>
        </w:rPr>
        <w:t>深圳先进院合成所、</w:t>
      </w:r>
      <w:bookmarkStart w:id="5" w:name="hmcheck_ca9673f207a84abda937bd23414f1bcc"/>
      <w:r>
        <w:rPr>
          <w:rFonts w:hint="eastAsia" w:ascii="仿宋_GB2312" w:hAnsi="仿宋_GB2312" w:eastAsia="仿宋_GB2312" w:cs="仿宋_GB2312"/>
          <w:kern w:val="2"/>
          <w:sz w:val="28"/>
          <w:szCs w:val="28"/>
          <w:shd w:val="clear" w:fill="FFFFFF"/>
          <w:lang w:val="en-US" w:eastAsia="zh-CN" w:bidi="ar-SA"/>
        </w:rPr>
        <w:t>中科院</w:t>
      </w:r>
      <w:bookmarkEnd w:id="5"/>
      <w:r>
        <w:rPr>
          <w:rFonts w:hint="eastAsia" w:ascii="仿宋_GB2312" w:hAnsi="仿宋_GB2312" w:eastAsia="仿宋_GB2312" w:cs="仿宋_GB2312"/>
          <w:kern w:val="2"/>
          <w:sz w:val="28"/>
          <w:szCs w:val="28"/>
          <w:lang w:val="en-US" w:eastAsia="zh-CN" w:bidi="ar-SA"/>
        </w:rPr>
        <w:t>深圳先进院脑所、中国计量院深圳创新院等光明区代表性科技成果平台以及深创投、君联资本、松禾资本、高新投创投等优质头部创投机构，联合会旨在通过聚集光明科学城相关企业、高校、科研平台、重大设施、业内顶级创投机构、金融机构、创业孵化器、行业协会、产业园区、引导基金等优势资源，为光明科学城的科技成果转化项目、中小微企业及创投机构提供多元化服务。</w:t>
      </w:r>
    </w:p>
    <w:p>
      <w:pPr>
        <w:keepNext w:val="0"/>
        <w:keepLines w:val="0"/>
        <w:pageBreakBefore w:val="0"/>
        <w:kinsoku/>
        <w:wordWrap/>
        <w:overflowPunct/>
        <w:topLinePunct w:val="0"/>
        <w:autoSpaceDN/>
        <w:bidi w:val="0"/>
        <w:adjustRightInd/>
        <w:spacing w:line="560" w:lineRule="exact"/>
        <w:textAlignment w:val="auto"/>
        <w:rPr>
          <w:rFonts w:hint="default" w:ascii="仿宋_GB2312" w:hAnsi="仿宋_GB2312" w:eastAsia="仿宋_GB2312" w:cs="仿宋_GB2312"/>
          <w:kern w:val="2"/>
          <w:sz w:val="28"/>
          <w:szCs w:val="28"/>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_GB2312" w:eastAsia="仿宋_GB2312" w:cs="仿宋_GB2312"/>
          <w:kern w:val="2"/>
          <w:sz w:val="28"/>
          <w:szCs w:val="28"/>
          <w:lang w:val="en-US" w:eastAsia="zh-CN" w:bidi="ar-SA"/>
        </w:rPr>
      </w:pPr>
    </w:p>
    <w:p>
      <w:pPr>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kern w:val="2"/>
          <w:sz w:val="28"/>
          <w:szCs w:val="28"/>
          <w:lang w:val="en-US" w:eastAsia="zh-CN" w:bidi="ar-SA"/>
        </w:rPr>
      </w:pPr>
    </w:p>
    <w:p>
      <w:pPr>
        <w:pStyle w:val="6"/>
        <w:keepNext w:val="0"/>
        <w:keepLines w:val="0"/>
        <w:pageBreakBefore w:val="0"/>
        <w:numPr>
          <w:ilvl w:val="0"/>
          <w:numId w:val="0"/>
        </w:numPr>
        <w:kinsoku/>
        <w:wordWrap/>
        <w:overflowPunct/>
        <w:topLinePunct w:val="0"/>
        <w:autoSpaceDN/>
        <w:bidi w:val="0"/>
        <w:adjustRightInd/>
        <w:spacing w:line="560" w:lineRule="exact"/>
        <w:textAlignment w:val="auto"/>
        <w:rPr>
          <w:rFonts w:hint="default" w:ascii="仿宋_GB2312" w:hAns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color w:val="auto"/>
          <w:kern w:val="2"/>
          <w:sz w:val="28"/>
          <w:szCs w:val="28"/>
          <w:lang w:val="en-US" w:eastAsia="zh-CN" w:bidi="ar-SA"/>
        </w:rPr>
      </w:pPr>
    </w:p>
    <w:p>
      <w:pPr>
        <w:keepNext w:val="0"/>
        <w:keepLines w:val="0"/>
        <w:pageBreakBefore w:val="0"/>
        <w:kinsoku/>
        <w:wordWrap/>
        <w:overflowPunct/>
        <w:topLinePunct w:val="0"/>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59DE5"/>
    <w:multiLevelType w:val="singleLevel"/>
    <w:tmpl w:val="D5059D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NDQ5M2EwMTY0Yjc1ZDU0YTMzNzIwMTI0MzY0MzMifQ=="/>
  </w:docVars>
  <w:rsids>
    <w:rsidRoot w:val="36D72BBF"/>
    <w:rsid w:val="0B756F76"/>
    <w:rsid w:val="25D15C66"/>
    <w:rsid w:val="26F7706A"/>
    <w:rsid w:val="32B90616"/>
    <w:rsid w:val="36D72BBF"/>
    <w:rsid w:val="3BFF9B7E"/>
    <w:rsid w:val="41584F4F"/>
    <w:rsid w:val="4A416461"/>
    <w:rsid w:val="581779C2"/>
    <w:rsid w:val="5CB318A3"/>
    <w:rsid w:val="5E4E15A0"/>
    <w:rsid w:val="687D52F6"/>
    <w:rsid w:val="7F395B44"/>
    <w:rsid w:val="F75F4A50"/>
    <w:rsid w:val="F7B7CE31"/>
    <w:rsid w:val="FEFDA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2"/>
    <w:basedOn w:val="1"/>
    <w:qFormat/>
    <w:uiPriority w:val="0"/>
    <w:pPr>
      <w:ind w:firstLine="420"/>
    </w:pPr>
  </w:style>
  <w:style w:type="paragraph" w:customStyle="1" w:styleId="6">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2024-06-27T15:38:00Z</dcterms:created>
  <dc:creator>lzy</dc:creator>
  <cp:lastModifiedBy>zhangcf</cp:lastModifiedBy>
  <cp:lastPrinted>2024-08-24T11:34:00Z</cp:lastPrinted>
  <dcterms:modified xsi:type="dcterms:W3CDTF">2024-09-06T15:04:32Z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DA2614AE2B50470C8C07E2EB7987EAF2_13</vt:lpwstr>
  </property>
  <property fmtid="{D5CDD505-2E9C-101B-9397-08002B2CF9AE}" pid="4" name="hmcheck_result_4ef7dee26c3444fd81a9a24e66d9b9cb_errorword">
    <vt:lpwstr>下午14:</vt:lpwstr>
  </property>
  <property fmtid="{D5CDD505-2E9C-101B-9397-08002B2CF9AE}" pid="5" name="hmcheck_result_4ef7dee26c3444fd81a9a24e66d9b9cb_correctwords">
    <vt:lpwstr>["14:"]</vt:lpwstr>
  </property>
  <property fmtid="{D5CDD505-2E9C-101B-9397-08002B2CF9AE}" pid="6" name="hmcheck_result_4ef7dee26c3444fd81a9a24e66d9b9cb_level">
    <vt:i4>1</vt:i4>
  </property>
  <property fmtid="{D5CDD505-2E9C-101B-9397-08002B2CF9AE}" pid="7" name="hmcheck_result_4ef7dee26c3444fd81a9a24e66d9b9cb_type">
    <vt:i4>0</vt:i4>
  </property>
  <property fmtid="{D5CDD505-2E9C-101B-9397-08002B2CF9AE}" pid="8" name="hmcheck_result_4ef7dee26c3444fd81a9a24e66d9b9cb_modifiedtype">
    <vt:i4>1</vt:i4>
  </property>
  <property fmtid="{D5CDD505-2E9C-101B-9397-08002B2CF9AE}" pid="9" name="hmcheck_result_ece375dc39414b1ea5b995e3eefdb04b_errorword">
    <vt:lpwstr>吋</vt:lpwstr>
  </property>
  <property fmtid="{D5CDD505-2E9C-101B-9397-08002B2CF9AE}" pid="10" name="hmcheck_result_ece375dc39414b1ea5b995e3eefdb04b_correctwords">
    <vt:lpwstr>["英寸"]</vt:lpwstr>
  </property>
  <property fmtid="{D5CDD505-2E9C-101B-9397-08002B2CF9AE}" pid="11" name="hmcheck_result_ece375dc39414b1ea5b995e3eefdb04b_level">
    <vt:i4>1</vt:i4>
  </property>
  <property fmtid="{D5CDD505-2E9C-101B-9397-08002B2CF9AE}" pid="12" name="hmcheck_result_ece375dc39414b1ea5b995e3eefdb04b_type">
    <vt:i4>0</vt:i4>
  </property>
  <property fmtid="{D5CDD505-2E9C-101B-9397-08002B2CF9AE}" pid="13" name="hmcheck_result_ece375dc39414b1ea5b995e3eefdb04b_modifiedtype">
    <vt:i4>1</vt:i4>
  </property>
  <property fmtid="{D5CDD505-2E9C-101B-9397-08002B2CF9AE}" pid="14" name="hmcheck_result_3bab998b4478477da32d26be4d9fc527_errorword">
    <vt:lpwstr>吋</vt:lpwstr>
  </property>
  <property fmtid="{D5CDD505-2E9C-101B-9397-08002B2CF9AE}" pid="15" name="hmcheck_result_3bab998b4478477da32d26be4d9fc527_correctwords">
    <vt:lpwstr>["英寸"]</vt:lpwstr>
  </property>
  <property fmtid="{D5CDD505-2E9C-101B-9397-08002B2CF9AE}" pid="16" name="hmcheck_result_3bab998b4478477da32d26be4d9fc527_level">
    <vt:i4>1</vt:i4>
  </property>
  <property fmtid="{D5CDD505-2E9C-101B-9397-08002B2CF9AE}" pid="17" name="hmcheck_result_3bab998b4478477da32d26be4d9fc527_type">
    <vt:i4>0</vt:i4>
  </property>
  <property fmtid="{D5CDD505-2E9C-101B-9397-08002B2CF9AE}" pid="18" name="hmcheck_result_3bab998b4478477da32d26be4d9fc527_modifiedtype">
    <vt:i4>1</vt:i4>
  </property>
  <property fmtid="{D5CDD505-2E9C-101B-9397-08002B2CF9AE}" pid="19" name="hmcheck_result_c45a948523594a8c890b27365f307370_errorword">
    <vt:lpwstr>[2000]</vt:lpwstr>
  </property>
  <property fmtid="{D5CDD505-2E9C-101B-9397-08002B2CF9AE}" pid="20" name="hmcheck_result_c45a948523594a8c890b27365f307370_correctwords">
    <vt:lpwstr>["〔2000〕"]</vt:lpwstr>
  </property>
  <property fmtid="{D5CDD505-2E9C-101B-9397-08002B2CF9AE}" pid="21" name="hmcheck_result_c45a948523594a8c890b27365f307370_level">
    <vt:i4>1</vt:i4>
  </property>
  <property fmtid="{D5CDD505-2E9C-101B-9397-08002B2CF9AE}" pid="22" name="hmcheck_result_c45a948523594a8c890b27365f307370_type">
    <vt:i4>0</vt:i4>
  </property>
  <property fmtid="{D5CDD505-2E9C-101B-9397-08002B2CF9AE}" pid="23" name="hmcheck_result_c45a948523594a8c890b27365f307370_modifiedtype">
    <vt:i4>1</vt:i4>
  </property>
  <property fmtid="{D5CDD505-2E9C-101B-9397-08002B2CF9AE}" pid="24" name="hmcheck_result_99343c8fd1e945c6a4c4ab372ce157f8_errorword">
    <vt:lpwstr>中科院</vt:lpwstr>
  </property>
  <property fmtid="{D5CDD505-2E9C-101B-9397-08002B2CF9AE}" pid="25" name="hmcheck_result_99343c8fd1e945c6a4c4ab372ce157f8_correctwords">
    <vt:lpwstr>["中国科学院"]</vt:lpwstr>
  </property>
  <property fmtid="{D5CDD505-2E9C-101B-9397-08002B2CF9AE}" pid="26" name="hmcheck_result_99343c8fd1e945c6a4c4ab372ce157f8_level">
    <vt:i4>1</vt:i4>
  </property>
  <property fmtid="{D5CDD505-2E9C-101B-9397-08002B2CF9AE}" pid="27" name="hmcheck_result_99343c8fd1e945c6a4c4ab372ce157f8_type">
    <vt:i4>7</vt:i4>
  </property>
  <property fmtid="{D5CDD505-2E9C-101B-9397-08002B2CF9AE}" pid="28" name="hmcheck_result_99343c8fd1e945c6a4c4ab372ce157f8_modifiedtype">
    <vt:i4>1</vt:i4>
  </property>
  <property fmtid="{D5CDD505-2E9C-101B-9397-08002B2CF9AE}" pid="29" name="hmcheck_result_ca9673f207a84abda937bd23414f1bcc_errorword">
    <vt:lpwstr>中科院</vt:lpwstr>
  </property>
  <property fmtid="{D5CDD505-2E9C-101B-9397-08002B2CF9AE}" pid="30" name="hmcheck_result_ca9673f207a84abda937bd23414f1bcc_correctwords">
    <vt:lpwstr>["中国科学院"]</vt:lpwstr>
  </property>
  <property fmtid="{D5CDD505-2E9C-101B-9397-08002B2CF9AE}" pid="31" name="hmcheck_result_ca9673f207a84abda937bd23414f1bcc_level">
    <vt:i4>1</vt:i4>
  </property>
  <property fmtid="{D5CDD505-2E9C-101B-9397-08002B2CF9AE}" pid="32" name="hmcheck_result_ca9673f207a84abda937bd23414f1bcc_type">
    <vt:i4>7</vt:i4>
  </property>
  <property fmtid="{D5CDD505-2E9C-101B-9397-08002B2CF9AE}" pid="33" name="hmcheck_result_ca9673f207a84abda937bd23414f1bcc_modifiedtype">
    <vt:i4>1</vt:i4>
  </property>
  <property fmtid="{D5CDD505-2E9C-101B-9397-08002B2CF9AE}" pid="34" name="hmcheck_markmode">
    <vt:i4>0</vt:i4>
  </property>
  <property fmtid="{D5CDD505-2E9C-101B-9397-08002B2CF9AE}" pid="35" name="hmcheck_taskpanetype">
    <vt:i4>1</vt:i4>
  </property>
</Properties>
</file>