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宋体" w:eastAsia="方正小标宋简体" w:cs="Times New Roman"/>
          <w:color w:val="000000" w:themeColor="text1"/>
          <w:sz w:val="44"/>
          <w:szCs w:val="44"/>
          <w14:textFill>
            <w14:solidFill>
              <w14:schemeClr w14:val="tx1"/>
            </w14:solidFill>
          </w14:textFill>
        </w:rPr>
      </w:pPr>
      <w:bookmarkStart w:id="0" w:name="_GoBack"/>
      <w:r>
        <w:rPr>
          <w:rFonts w:hint="eastAsia" w:ascii="方正小标宋简体" w:hAnsi="宋体" w:eastAsia="方正小标宋简体" w:cs="Times New Roman"/>
          <w:color w:val="000000" w:themeColor="text1"/>
          <w:sz w:val="44"/>
          <w:szCs w:val="44"/>
          <w14:textFill>
            <w14:solidFill>
              <w14:schemeClr w14:val="tx1"/>
            </w14:solidFill>
          </w14:textFill>
        </w:rPr>
        <w:t>深圳市重点企业研究院管理办法</w:t>
      </w:r>
    </w:p>
    <w:bookmarkEnd w:id="0"/>
    <w:p>
      <w:pPr>
        <w:spacing w:line="560" w:lineRule="exact"/>
        <w:jc w:val="center"/>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（征求意见稿）</w:t>
      </w:r>
    </w:p>
    <w:p>
      <w:pPr>
        <w:widowControl/>
        <w:spacing w:line="560" w:lineRule="exact"/>
        <w:ind w:firstLine="640" w:firstLineChars="200"/>
        <w:jc w:val="center"/>
        <w:rPr>
          <w:rFonts w:ascii="仿宋_GB2312" w:hAnsi="仿宋" w:eastAsia="仿宋_GB2312"/>
          <w:color w:val="000000" w:themeColor="text1"/>
          <w:sz w:val="32"/>
          <w:szCs w:val="32"/>
          <w14:textFill>
            <w14:solidFill>
              <w14:schemeClr w14:val="tx1"/>
            </w14:solidFill>
          </w14:textFill>
        </w:rPr>
      </w:pPr>
    </w:p>
    <w:p>
      <w:pPr>
        <w:widowControl/>
        <w:shd w:val="clear" w:color="auto" w:fill="FFFFFF"/>
        <w:adjustRightInd w:val="0"/>
        <w:snapToGrid w:val="0"/>
        <w:spacing w:line="560" w:lineRule="exact"/>
        <w:jc w:val="center"/>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第一章 总则</w:t>
      </w:r>
    </w:p>
    <w:p>
      <w:pPr>
        <w:spacing w:line="560" w:lineRule="exact"/>
        <w:ind w:firstLine="643" w:firstLineChars="200"/>
        <w:jc w:val="left"/>
        <w:rPr>
          <w:rFonts w:ascii="仿宋_GB2312" w:hAnsi="仿宋" w:eastAsia="仿宋_GB2312"/>
          <w:color w:val="000000" w:themeColor="text1"/>
          <w:sz w:val="32"/>
          <w:szCs w:val="32"/>
          <w14:textFill>
            <w14:solidFill>
              <w14:schemeClr w14:val="tx1"/>
            </w14:solidFill>
          </w14:textFill>
        </w:rPr>
      </w:pPr>
      <w:r>
        <w:rPr>
          <w:rFonts w:hint="eastAsia" w:ascii="仿宋_GB2312" w:hAnsi="华文仿宋" w:eastAsia="仿宋_GB2312" w:cs="宋体"/>
          <w:b/>
          <w:bCs/>
          <w:color w:val="000000" w:themeColor="text1"/>
          <w:kern w:val="0"/>
          <w:sz w:val="32"/>
          <w:szCs w:val="32"/>
          <w14:textFill>
            <w14:solidFill>
              <w14:schemeClr w14:val="tx1"/>
            </w14:solidFill>
          </w14:textFill>
        </w:rPr>
        <w:t xml:space="preserve">第一条 </w:t>
      </w:r>
      <w:r>
        <w:rPr>
          <w:rFonts w:hint="eastAsia" w:ascii="仿宋_GB2312" w:hAnsi="仿宋" w:eastAsia="仿宋_GB2312"/>
          <w:color w:val="000000" w:themeColor="text1"/>
          <w:sz w:val="32"/>
          <w:szCs w:val="32"/>
          <w14:textFill>
            <w14:solidFill>
              <w14:schemeClr w14:val="tx1"/>
            </w14:solidFill>
          </w14:textFill>
        </w:rPr>
        <w:t>为深入贯彻落实《国务院办公厅关于强化企业技术创新主体地位全面提升企业创新能力的意见》（国办发〔2013〕22号）和《关于促进科技创新的若干措施》（深发〔2016〕7号），进一步突出企业的创新主体地位，提升企业自主创新能力，推进和规范重点企业研究院管理，特制定本办法。</w:t>
      </w:r>
    </w:p>
    <w:p>
      <w:pPr>
        <w:widowControl/>
        <w:spacing w:line="560" w:lineRule="exact"/>
        <w:ind w:firstLine="643" w:firstLineChars="200"/>
        <w:jc w:val="left"/>
        <w:rPr>
          <w:rFonts w:ascii="仿宋_GB2312" w:hAnsi="华文仿宋" w:eastAsia="仿宋_GB2312" w:cs="宋体"/>
          <w:color w:val="000000" w:themeColor="text1"/>
          <w:kern w:val="0"/>
          <w:sz w:val="32"/>
          <w:szCs w:val="32"/>
          <w14:textFill>
            <w14:solidFill>
              <w14:schemeClr w14:val="tx1"/>
            </w14:solidFill>
          </w14:textFill>
        </w:rPr>
      </w:pPr>
      <w:r>
        <w:rPr>
          <w:rFonts w:hint="eastAsia" w:ascii="仿宋_GB2312" w:hAnsi="华文仿宋" w:eastAsia="仿宋_GB2312" w:cs="宋体"/>
          <w:b/>
          <w:bCs/>
          <w:color w:val="000000" w:themeColor="text1"/>
          <w:kern w:val="0"/>
          <w:sz w:val="32"/>
          <w:szCs w:val="32"/>
          <w14:textFill>
            <w14:solidFill>
              <w14:schemeClr w14:val="tx1"/>
            </w14:solidFill>
          </w14:textFill>
        </w:rPr>
        <w:t xml:space="preserve">第二条 </w:t>
      </w:r>
      <w:r>
        <w:rPr>
          <w:rFonts w:hint="eastAsia" w:ascii="仿宋_GB2312" w:hAnsi="Arial" w:eastAsia="仿宋_GB2312" w:cs="Arial"/>
          <w:color w:val="000000" w:themeColor="text1"/>
          <w:kern w:val="0"/>
          <w:sz w:val="32"/>
          <w:szCs w:val="32"/>
          <w14:textFill>
            <w14:solidFill>
              <w14:schemeClr w14:val="tx1"/>
            </w14:solidFill>
          </w14:textFill>
        </w:rPr>
        <w:t>重点企业研究院依托深圳市内具有较强研究开发能力和技术创新能力的企业建设，是深圳市科技创新体系的重要组成部分。</w:t>
      </w:r>
      <w:r>
        <w:rPr>
          <w:rFonts w:hint="eastAsia" w:ascii="仿宋_GB2312" w:hAnsi="华文仿宋" w:eastAsia="仿宋_GB2312" w:cs="宋体"/>
          <w:color w:val="000000" w:themeColor="text1"/>
          <w:kern w:val="0"/>
          <w:sz w:val="32"/>
          <w:szCs w:val="32"/>
          <w14:textFill>
            <w14:solidFill>
              <w14:schemeClr w14:val="tx1"/>
            </w14:solidFill>
          </w14:textFill>
        </w:rPr>
        <w:t>支持重点企业研究院统筹整合企业现有创新载体的优势资源，进一步集聚创新要素，突破产业技术瓶颈，攻克核心关键技术，引领新技术研发与应用，助推依托企业申报国家级创新载体,为企业持续发展和深圳建设现代化国际化创新型城市提供重要支撑。</w:t>
      </w:r>
    </w:p>
    <w:p>
      <w:pPr>
        <w:widowControl/>
        <w:spacing w:line="560" w:lineRule="exact"/>
        <w:ind w:firstLine="643" w:firstLineChars="200"/>
        <w:jc w:val="left"/>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华文仿宋" w:eastAsia="仿宋_GB2312" w:cs="宋体"/>
          <w:b/>
          <w:color w:val="000000" w:themeColor="text1"/>
          <w:kern w:val="0"/>
          <w:sz w:val="32"/>
          <w:szCs w:val="32"/>
          <w14:textFill>
            <w14:solidFill>
              <w14:schemeClr w14:val="tx1"/>
            </w14:solidFill>
          </w14:textFill>
        </w:rPr>
        <w:t>第三条</w:t>
      </w:r>
      <w:r>
        <w:rPr>
          <w:rFonts w:hint="eastAsia" w:ascii="仿宋_GB2312" w:hAnsi="华文仿宋" w:eastAsia="仿宋_GB2312" w:cs="宋体"/>
          <w:color w:val="000000" w:themeColor="text1"/>
          <w:kern w:val="0"/>
          <w:sz w:val="32"/>
          <w:szCs w:val="32"/>
          <w14:textFill>
            <w14:solidFill>
              <w14:schemeClr w14:val="tx1"/>
            </w14:solidFill>
          </w14:textFill>
        </w:rPr>
        <w:t xml:space="preserve"> 市科技主管部门根据创新驱动发展要求和经济结构转型升级需要，对创新能力强、引领示范作用大、符合深圳市战略性新兴产业发展导向及认定条件的重点企业研究院予以认定，并给予财政资助和政策支持</w:t>
      </w:r>
      <w:r>
        <w:rPr>
          <w:rFonts w:hint="eastAsia" w:ascii="仿宋_GB2312" w:hAnsi="仿宋_GB2312" w:eastAsia="仿宋_GB2312" w:cs="宋体"/>
          <w:color w:val="000000" w:themeColor="text1"/>
          <w:kern w:val="0"/>
          <w:sz w:val="32"/>
          <w:szCs w:val="23"/>
          <w14:textFill>
            <w14:solidFill>
              <w14:schemeClr w14:val="tx1"/>
            </w14:solidFill>
          </w14:textFill>
        </w:rPr>
        <w:t>。</w:t>
      </w:r>
    </w:p>
    <w:p>
      <w:pPr>
        <w:widowControl/>
        <w:spacing w:line="560" w:lineRule="exact"/>
        <w:ind w:firstLine="643" w:firstLineChars="200"/>
        <w:jc w:val="left"/>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华文仿宋" w:eastAsia="仿宋_GB2312" w:cs="宋体"/>
          <w:b/>
          <w:color w:val="000000" w:themeColor="text1"/>
          <w:kern w:val="0"/>
          <w:sz w:val="32"/>
          <w:szCs w:val="32"/>
          <w14:textFill>
            <w14:solidFill>
              <w14:schemeClr w14:val="tx1"/>
            </w14:solidFill>
          </w14:textFill>
        </w:rPr>
        <w:t>第四条</w:t>
      </w:r>
      <w:r>
        <w:rPr>
          <w:rFonts w:hint="eastAsia" w:ascii="仿宋_GB2312" w:hAnsi="华文仿宋" w:eastAsia="仿宋_GB2312" w:cs="宋体"/>
          <w:color w:val="000000" w:themeColor="text1"/>
          <w:kern w:val="0"/>
          <w:sz w:val="32"/>
          <w:szCs w:val="32"/>
          <w14:textFill>
            <w14:solidFill>
              <w14:schemeClr w14:val="tx1"/>
            </w14:solidFill>
          </w14:textFill>
        </w:rPr>
        <w:t xml:space="preserve"> 重点企业研究院管理工作遵循“政府引导，企业主体，公开透明，动态管理”的原则</w:t>
      </w:r>
      <w:r>
        <w:rPr>
          <w:rFonts w:hint="eastAsia" w:ascii="仿宋_GB2312" w:hAnsi="仿宋_GB2312" w:eastAsia="仿宋_GB2312" w:cs="宋体"/>
          <w:color w:val="000000" w:themeColor="text1"/>
          <w:kern w:val="0"/>
          <w:sz w:val="32"/>
          <w:szCs w:val="23"/>
          <w14:textFill>
            <w14:solidFill>
              <w14:schemeClr w14:val="tx1"/>
            </w14:solidFill>
          </w14:textFill>
        </w:rPr>
        <w:t>。</w:t>
      </w:r>
    </w:p>
    <w:p>
      <w:pPr>
        <w:widowControl/>
        <w:shd w:val="clear" w:color="auto" w:fill="FFFFFF"/>
        <w:adjustRightInd w:val="0"/>
        <w:snapToGrid w:val="0"/>
        <w:spacing w:line="560" w:lineRule="exact"/>
        <w:jc w:val="center"/>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第二章 职责</w:t>
      </w:r>
    </w:p>
    <w:p>
      <w:pPr>
        <w:shd w:val="clear" w:color="auto" w:fill="FFFFFF"/>
        <w:spacing w:line="600" w:lineRule="exact"/>
        <w:ind w:firstLine="645"/>
        <w:rPr>
          <w:rFonts w:ascii="Arial" w:hAnsi="Arial" w:eastAsia="仿宋_GB2312" w:cs="Arial"/>
          <w:color w:val="000000" w:themeColor="text1"/>
          <w:kern w:val="0"/>
          <w:sz w:val="32"/>
          <w:szCs w:val="32"/>
          <w14:textFill>
            <w14:solidFill>
              <w14:schemeClr w14:val="tx1"/>
            </w14:solidFill>
          </w14:textFill>
        </w:rPr>
      </w:pPr>
      <w:r>
        <w:rPr>
          <w:rFonts w:hint="eastAsia" w:ascii="仿宋_GB2312" w:hAnsi="Arial" w:eastAsia="仿宋_GB2312" w:cs="Arial"/>
          <w:b/>
          <w:color w:val="000000" w:themeColor="text1"/>
          <w:kern w:val="0"/>
          <w:sz w:val="32"/>
          <w:szCs w:val="32"/>
          <w14:textFill>
            <w14:solidFill>
              <w14:schemeClr w14:val="tx1"/>
            </w14:solidFill>
          </w14:textFill>
        </w:rPr>
        <w:t>第五条</w:t>
      </w:r>
      <w:r>
        <w:rPr>
          <w:rFonts w:hint="eastAsia" w:ascii="Arial" w:hAnsi="Arial" w:eastAsia="仿宋_GB2312" w:cs="Arial"/>
          <w:color w:val="000000" w:themeColor="text1"/>
          <w:kern w:val="0"/>
          <w:sz w:val="32"/>
          <w:szCs w:val="32"/>
          <w14:textFill>
            <w14:solidFill>
              <w14:schemeClr w14:val="tx1"/>
            </w14:solidFill>
          </w14:textFill>
        </w:rPr>
        <w:t xml:space="preserve"> 市科技主管部门是重点企业研究院的业务主管部门，其职责是：</w:t>
      </w:r>
    </w:p>
    <w:p>
      <w:pPr>
        <w:shd w:val="clear" w:color="auto" w:fill="FFFFFF"/>
        <w:spacing w:line="600" w:lineRule="exact"/>
        <w:ind w:firstLine="645"/>
        <w:rPr>
          <w:rFonts w:ascii="Arial" w:hAnsi="Arial" w:eastAsia="仿宋_GB2312" w:cs="Arial"/>
          <w:color w:val="000000" w:themeColor="text1"/>
          <w:kern w:val="0"/>
          <w:sz w:val="32"/>
          <w:szCs w:val="32"/>
          <w14:textFill>
            <w14:solidFill>
              <w14:schemeClr w14:val="tx1"/>
            </w14:solidFill>
          </w14:textFill>
        </w:rPr>
      </w:pPr>
      <w:r>
        <w:rPr>
          <w:rFonts w:hint="eastAsia" w:ascii="Arial" w:hAnsi="Arial" w:eastAsia="仿宋_GB2312" w:cs="Arial"/>
          <w:color w:val="000000" w:themeColor="text1"/>
          <w:kern w:val="0"/>
          <w:sz w:val="32"/>
          <w:szCs w:val="32"/>
          <w14:textFill>
            <w14:solidFill>
              <w14:schemeClr w14:val="tx1"/>
            </w14:solidFill>
          </w14:textFill>
        </w:rPr>
        <w:t>（一）制定重点企业研究院相关政策，发布申请指南，宏观指导重点企业研究院的建设与发展。</w:t>
      </w:r>
    </w:p>
    <w:p>
      <w:pPr>
        <w:shd w:val="clear" w:color="auto" w:fill="FFFFFF"/>
        <w:spacing w:line="600" w:lineRule="exact"/>
        <w:ind w:firstLine="645"/>
        <w:rPr>
          <w:rFonts w:ascii="仿宋_GB2312" w:hAnsi="Arial" w:eastAsia="仿宋_GB2312" w:cs="Arial"/>
          <w:color w:val="000000" w:themeColor="text1"/>
          <w:kern w:val="0"/>
          <w:sz w:val="32"/>
          <w:szCs w:val="32"/>
          <w14:textFill>
            <w14:solidFill>
              <w14:schemeClr w14:val="tx1"/>
            </w14:solidFill>
          </w14:textFill>
        </w:rPr>
      </w:pPr>
      <w:r>
        <w:rPr>
          <w:rFonts w:hint="eastAsia" w:ascii="仿宋_GB2312" w:hAnsi="Arial" w:eastAsia="仿宋_GB2312" w:cs="Arial"/>
          <w:color w:val="000000" w:themeColor="text1"/>
          <w:kern w:val="0"/>
          <w:sz w:val="32"/>
          <w:szCs w:val="32"/>
          <w14:textFill>
            <w14:solidFill>
              <w14:schemeClr w14:val="tx1"/>
            </w14:solidFill>
          </w14:textFill>
        </w:rPr>
        <w:t>（二）受理申报，组织认定、审核与资助。</w:t>
      </w:r>
    </w:p>
    <w:p>
      <w:pPr>
        <w:shd w:val="clear" w:color="auto" w:fill="FFFFFF"/>
        <w:spacing w:line="600" w:lineRule="exact"/>
        <w:ind w:firstLine="645"/>
        <w:rPr>
          <w:rFonts w:ascii="仿宋_GB2312" w:hAnsi="Arial" w:eastAsia="仿宋_GB2312" w:cs="Arial"/>
          <w:color w:val="000000" w:themeColor="text1"/>
          <w:kern w:val="0"/>
          <w:sz w:val="32"/>
          <w:szCs w:val="32"/>
          <w14:textFill>
            <w14:solidFill>
              <w14:schemeClr w14:val="tx1"/>
            </w14:solidFill>
          </w14:textFill>
        </w:rPr>
      </w:pPr>
      <w:r>
        <w:rPr>
          <w:rFonts w:hint="eastAsia" w:ascii="仿宋_GB2312" w:hAnsi="Arial" w:eastAsia="仿宋_GB2312" w:cs="Arial"/>
          <w:color w:val="000000" w:themeColor="text1"/>
          <w:kern w:val="0"/>
          <w:sz w:val="32"/>
          <w:szCs w:val="32"/>
          <w14:textFill>
            <w14:solidFill>
              <w14:schemeClr w14:val="tx1"/>
            </w14:solidFill>
          </w14:textFill>
        </w:rPr>
        <w:t>（三）组织重点企业研究院的复核工作。</w:t>
      </w:r>
    </w:p>
    <w:p>
      <w:pPr>
        <w:shd w:val="clear" w:color="auto" w:fill="FFFFFF"/>
        <w:spacing w:line="600" w:lineRule="exact"/>
        <w:ind w:firstLine="645"/>
        <w:rPr>
          <w:rFonts w:ascii="仿宋_GB2312" w:hAnsi="Arial" w:eastAsia="仿宋_GB2312" w:cs="Arial"/>
          <w:color w:val="000000" w:themeColor="text1"/>
          <w:kern w:val="0"/>
          <w:sz w:val="32"/>
          <w:szCs w:val="32"/>
          <w14:textFill>
            <w14:solidFill>
              <w14:schemeClr w14:val="tx1"/>
            </w14:solidFill>
          </w14:textFill>
        </w:rPr>
      </w:pPr>
      <w:r>
        <w:rPr>
          <w:rFonts w:hint="eastAsia" w:ascii="仿宋_GB2312" w:hAnsi="Arial" w:eastAsia="仿宋_GB2312" w:cs="Arial"/>
          <w:color w:val="000000" w:themeColor="text1"/>
          <w:kern w:val="0"/>
          <w:sz w:val="32"/>
          <w:szCs w:val="32"/>
          <w14:textFill>
            <w14:solidFill>
              <w14:schemeClr w14:val="tx1"/>
            </w14:solidFill>
          </w14:textFill>
        </w:rPr>
        <w:t>（四）工作职能范围内的其他工作事项。</w:t>
      </w:r>
    </w:p>
    <w:p>
      <w:pPr>
        <w:shd w:val="clear" w:color="auto" w:fill="FFFFFF"/>
        <w:spacing w:line="600" w:lineRule="exact"/>
        <w:ind w:firstLine="645"/>
        <w:rPr>
          <w:rFonts w:ascii="Arial" w:hAnsi="Arial" w:eastAsia="仿宋_GB2312" w:cs="Arial"/>
          <w:color w:val="000000" w:themeColor="text1"/>
          <w:kern w:val="0"/>
          <w:sz w:val="32"/>
          <w:szCs w:val="32"/>
          <w14:textFill>
            <w14:solidFill>
              <w14:schemeClr w14:val="tx1"/>
            </w14:solidFill>
          </w14:textFill>
        </w:rPr>
      </w:pPr>
      <w:r>
        <w:rPr>
          <w:rFonts w:hint="eastAsia" w:ascii="仿宋_GB2312" w:hAnsi="Arial" w:eastAsia="仿宋_GB2312" w:cs="Arial"/>
          <w:b/>
          <w:color w:val="000000" w:themeColor="text1"/>
          <w:kern w:val="0"/>
          <w:sz w:val="32"/>
          <w:szCs w:val="32"/>
          <w14:textFill>
            <w14:solidFill>
              <w14:schemeClr w14:val="tx1"/>
            </w14:solidFill>
          </w14:textFill>
        </w:rPr>
        <w:t>第六条</w:t>
      </w:r>
      <w:r>
        <w:rPr>
          <w:rFonts w:hint="eastAsia" w:ascii="Arial" w:hAnsi="Arial" w:eastAsia="仿宋_GB2312" w:cs="Arial"/>
          <w:color w:val="000000" w:themeColor="text1"/>
          <w:kern w:val="0"/>
          <w:sz w:val="32"/>
          <w:szCs w:val="32"/>
          <w14:textFill>
            <w14:solidFill>
              <w14:schemeClr w14:val="tx1"/>
            </w14:solidFill>
          </w14:textFill>
        </w:rPr>
        <w:t xml:space="preserve"> 依托企业是重点企业研究院运行管理的具体负责单位，其职责是：</w:t>
      </w:r>
    </w:p>
    <w:p>
      <w:pPr>
        <w:shd w:val="clear" w:color="auto" w:fill="FFFFFF"/>
        <w:spacing w:line="600" w:lineRule="exact"/>
        <w:ind w:firstLine="645"/>
        <w:rPr>
          <w:rFonts w:ascii="仿宋_GB2312" w:hAnsi="Calibri" w:eastAsia="仿宋_GB2312" w:cs="Calibri"/>
          <w:color w:val="000000" w:themeColor="text1"/>
          <w:kern w:val="0"/>
          <w:sz w:val="32"/>
          <w:szCs w:val="23"/>
          <w14:textFill>
            <w14:solidFill>
              <w14:schemeClr w14:val="tx1"/>
            </w14:solidFill>
          </w14:textFill>
        </w:rPr>
      </w:pPr>
      <w:r>
        <w:rPr>
          <w:rFonts w:hint="eastAsia" w:ascii="仿宋_GB2312" w:hAnsi="Arial" w:eastAsia="仿宋_GB2312" w:cs="Arial"/>
          <w:color w:val="000000" w:themeColor="text1"/>
          <w:kern w:val="0"/>
          <w:sz w:val="32"/>
          <w:szCs w:val="32"/>
          <w14:textFill>
            <w14:solidFill>
              <w14:schemeClr w14:val="tx1"/>
            </w14:solidFill>
          </w14:textFill>
        </w:rPr>
        <w:t>（一）实施建设重点企业研究院，</w:t>
      </w:r>
      <w:r>
        <w:rPr>
          <w:rFonts w:hint="eastAsia" w:ascii="Arial" w:hAnsi="Arial" w:eastAsia="仿宋_GB2312" w:cs="Arial"/>
          <w:color w:val="000000" w:themeColor="text1"/>
          <w:kern w:val="0"/>
          <w:sz w:val="32"/>
          <w:szCs w:val="32"/>
          <w14:textFill>
            <w14:solidFill>
              <w14:schemeClr w14:val="tx1"/>
            </w14:solidFill>
          </w14:textFill>
        </w:rPr>
        <w:t>明确建设目标和定位，</w:t>
      </w:r>
      <w:r>
        <w:rPr>
          <w:rFonts w:hint="eastAsia" w:ascii="仿宋_GB2312" w:hAnsi="Arial" w:eastAsia="仿宋_GB2312" w:cs="Arial"/>
          <w:color w:val="000000" w:themeColor="text1"/>
          <w:kern w:val="0"/>
          <w:sz w:val="32"/>
          <w:szCs w:val="32"/>
          <w14:textFill>
            <w14:solidFill>
              <w14:schemeClr w14:val="tx1"/>
            </w14:solidFill>
          </w14:textFill>
        </w:rPr>
        <w:t>提供</w:t>
      </w:r>
      <w:r>
        <w:rPr>
          <w:rFonts w:hint="eastAsia" w:ascii="仿宋_GB2312" w:hAnsi="Calibri" w:eastAsia="仿宋_GB2312" w:cs="Calibri"/>
          <w:color w:val="000000" w:themeColor="text1"/>
          <w:kern w:val="0"/>
          <w:sz w:val="32"/>
          <w:szCs w:val="23"/>
          <w14:textFill>
            <w14:solidFill>
              <w14:schemeClr w14:val="tx1"/>
            </w14:solidFill>
          </w14:textFill>
        </w:rPr>
        <w:t>人才、经费、设备及场地等条件保障。</w:t>
      </w:r>
    </w:p>
    <w:p>
      <w:pPr>
        <w:shd w:val="clear" w:color="auto" w:fill="FFFFFF"/>
        <w:spacing w:line="600" w:lineRule="exact"/>
        <w:ind w:firstLine="645"/>
        <w:rPr>
          <w:rFonts w:ascii="仿宋_GB2312" w:hAnsi="Arial" w:eastAsia="仿宋_GB2312" w:cs="Arial"/>
          <w:color w:val="000000" w:themeColor="text1"/>
          <w:kern w:val="0"/>
          <w:sz w:val="32"/>
          <w:szCs w:val="32"/>
          <w14:textFill>
            <w14:solidFill>
              <w14:schemeClr w14:val="tx1"/>
            </w14:solidFill>
          </w14:textFill>
        </w:rPr>
      </w:pPr>
      <w:r>
        <w:rPr>
          <w:rFonts w:hint="eastAsia" w:ascii="Arial" w:hAnsi="Arial" w:eastAsia="仿宋_GB2312" w:cs="Arial"/>
          <w:color w:val="000000" w:themeColor="text1"/>
          <w:kern w:val="0"/>
          <w:sz w:val="32"/>
          <w:szCs w:val="32"/>
          <w14:textFill>
            <w14:solidFill>
              <w14:schemeClr w14:val="tx1"/>
            </w14:solidFill>
          </w14:textFill>
        </w:rPr>
        <w:t>（二）建立健全重点企业研究院的组织架构、管理制度和运行机制，实行相对独立的人、财、物管理和核算</w:t>
      </w:r>
      <w:r>
        <w:rPr>
          <w:rFonts w:hint="eastAsia" w:ascii="仿宋_GB2312" w:hAnsi="Arial" w:eastAsia="仿宋_GB2312" w:cs="Arial"/>
          <w:color w:val="000000" w:themeColor="text1"/>
          <w:kern w:val="0"/>
          <w:sz w:val="32"/>
          <w:szCs w:val="32"/>
          <w14:textFill>
            <w14:solidFill>
              <w14:schemeClr w14:val="tx1"/>
            </w14:solidFill>
          </w14:textFill>
        </w:rPr>
        <w:t>。</w:t>
      </w:r>
    </w:p>
    <w:p>
      <w:pPr>
        <w:shd w:val="clear" w:color="auto" w:fill="FFFFFF"/>
        <w:spacing w:line="600" w:lineRule="exact"/>
        <w:ind w:firstLine="645"/>
        <w:rPr>
          <w:rFonts w:ascii="仿宋_GB2312" w:hAnsi="Calibri" w:eastAsia="仿宋_GB2312" w:cs="Calibri"/>
          <w:color w:val="000000" w:themeColor="text1"/>
          <w:kern w:val="0"/>
          <w:sz w:val="32"/>
          <w:szCs w:val="23"/>
          <w14:textFill>
            <w14:solidFill>
              <w14:schemeClr w14:val="tx1"/>
            </w14:solidFill>
          </w14:textFill>
        </w:rPr>
      </w:pPr>
      <w:r>
        <w:rPr>
          <w:rFonts w:hint="eastAsia" w:ascii="仿宋_GB2312" w:hAnsi="Calibri" w:eastAsia="仿宋_GB2312" w:cs="Calibri"/>
          <w:color w:val="000000" w:themeColor="text1"/>
          <w:kern w:val="0"/>
          <w:sz w:val="32"/>
          <w:szCs w:val="23"/>
          <w14:textFill>
            <w14:solidFill>
              <w14:schemeClr w14:val="tx1"/>
            </w14:solidFill>
          </w14:textFill>
        </w:rPr>
        <w:t>（三）积极开展技术攻关和产业化研究，掌握自主知识产权，引导新技术的开发应用，推动行业技术进步。</w:t>
      </w:r>
    </w:p>
    <w:p>
      <w:pPr>
        <w:shd w:val="clear" w:color="auto" w:fill="FFFFFF"/>
        <w:spacing w:line="600" w:lineRule="exact"/>
        <w:ind w:firstLine="645"/>
        <w:rPr>
          <w:rFonts w:ascii="仿宋_GB2312" w:hAnsi="Calibri" w:eastAsia="仿宋_GB2312" w:cs="Calibri"/>
          <w:color w:val="000000" w:themeColor="text1"/>
          <w:kern w:val="0"/>
          <w:sz w:val="32"/>
          <w:szCs w:val="23"/>
          <w14:textFill>
            <w14:solidFill>
              <w14:schemeClr w14:val="tx1"/>
            </w14:solidFill>
          </w14:textFill>
        </w:rPr>
      </w:pPr>
      <w:r>
        <w:rPr>
          <w:rFonts w:hint="eastAsia" w:ascii="仿宋_GB2312" w:hAnsi="Calibri" w:eastAsia="仿宋_GB2312" w:cs="Calibri"/>
          <w:color w:val="000000" w:themeColor="text1"/>
          <w:kern w:val="0"/>
          <w:sz w:val="32"/>
          <w:szCs w:val="23"/>
          <w14:textFill>
            <w14:solidFill>
              <w14:schemeClr w14:val="tx1"/>
            </w14:solidFill>
          </w14:textFill>
        </w:rPr>
        <w:t>（四）按照相关管理办法，对资助资金进行专项财务管理、核算，并提供相关财务报表、专项审计报告。</w:t>
      </w:r>
    </w:p>
    <w:p>
      <w:pPr>
        <w:shd w:val="clear" w:color="auto" w:fill="FFFFFF"/>
        <w:spacing w:line="600" w:lineRule="exact"/>
        <w:ind w:firstLine="645"/>
        <w:rPr>
          <w:rFonts w:ascii="仿宋_GB2312" w:hAnsi="Arial" w:eastAsia="仿宋_GB2312" w:cs="Arial"/>
          <w:color w:val="000000" w:themeColor="text1"/>
          <w:kern w:val="0"/>
          <w:sz w:val="32"/>
          <w:szCs w:val="32"/>
          <w14:textFill>
            <w14:solidFill>
              <w14:schemeClr w14:val="tx1"/>
            </w14:solidFill>
          </w14:textFill>
        </w:rPr>
      </w:pPr>
      <w:r>
        <w:rPr>
          <w:rFonts w:hint="eastAsia" w:ascii="仿宋_GB2312" w:hAnsi="Calibri" w:eastAsia="仿宋_GB2312" w:cs="Calibri"/>
          <w:color w:val="000000" w:themeColor="text1"/>
          <w:kern w:val="0"/>
          <w:sz w:val="32"/>
          <w:szCs w:val="23"/>
          <w14:textFill>
            <w14:solidFill>
              <w14:schemeClr w14:val="tx1"/>
            </w14:solidFill>
          </w14:textFill>
        </w:rPr>
        <w:t>（五）根据相关要求，</w:t>
      </w:r>
      <w:r>
        <w:rPr>
          <w:rFonts w:hint="eastAsia" w:ascii="Arial" w:hAnsi="Arial" w:eastAsia="仿宋_GB2312" w:cs="Arial"/>
          <w:color w:val="000000" w:themeColor="text1"/>
          <w:kern w:val="0"/>
          <w:sz w:val="32"/>
          <w:szCs w:val="32"/>
          <w14:textFill>
            <w14:solidFill>
              <w14:schemeClr w14:val="tx1"/>
            </w14:solidFill>
          </w14:textFill>
        </w:rPr>
        <w:t>提交重点企业研究院的申请报告、建设成果报告</w:t>
      </w:r>
      <w:r>
        <w:rPr>
          <w:rFonts w:hint="eastAsia" w:ascii="仿宋_GB2312" w:hAnsi="Calibri" w:eastAsia="仿宋_GB2312" w:cs="Calibri"/>
          <w:color w:val="000000" w:themeColor="text1"/>
          <w:kern w:val="0"/>
          <w:sz w:val="32"/>
          <w:szCs w:val="23"/>
          <w14:textFill>
            <w14:solidFill>
              <w14:schemeClr w14:val="tx1"/>
            </w14:solidFill>
          </w14:textFill>
        </w:rPr>
        <w:t>、复核报告、审计报告等，协助做好重点企业研究院的认定、</w:t>
      </w:r>
      <w:r>
        <w:rPr>
          <w:rFonts w:hint="eastAsia" w:ascii="仿宋_GB2312" w:hAnsi="Arial" w:eastAsia="仿宋_GB2312" w:cs="Arial"/>
          <w:color w:val="000000" w:themeColor="text1"/>
          <w:kern w:val="0"/>
          <w:sz w:val="32"/>
          <w:szCs w:val="32"/>
          <w14:textFill>
            <w14:solidFill>
              <w14:schemeClr w14:val="tx1"/>
            </w14:solidFill>
          </w14:textFill>
        </w:rPr>
        <w:t>复核与后续管理工作。</w:t>
      </w:r>
    </w:p>
    <w:p>
      <w:pPr>
        <w:widowControl/>
        <w:shd w:val="clear" w:color="auto" w:fill="FFFFFF"/>
        <w:adjustRightInd w:val="0"/>
        <w:snapToGrid w:val="0"/>
        <w:spacing w:line="560" w:lineRule="exact"/>
        <w:jc w:val="center"/>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第三章 认定与资助</w:t>
      </w:r>
    </w:p>
    <w:p>
      <w:pPr>
        <w:spacing w:line="560" w:lineRule="exact"/>
        <w:ind w:firstLine="643" w:firstLineChars="200"/>
        <w:jc w:val="left"/>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b/>
          <w:color w:val="000000" w:themeColor="text1"/>
          <w:kern w:val="0"/>
          <w:sz w:val="32"/>
          <w:szCs w:val="23"/>
          <w14:textFill>
            <w14:solidFill>
              <w14:schemeClr w14:val="tx1"/>
            </w14:solidFill>
          </w14:textFill>
        </w:rPr>
        <w:t>第七条</w:t>
      </w:r>
      <w:r>
        <w:rPr>
          <w:rFonts w:hint="eastAsia" w:ascii="仿宋_GB2312" w:hAnsi="仿宋_GB2312" w:eastAsia="仿宋_GB2312" w:cs="宋体"/>
          <w:color w:val="000000" w:themeColor="text1"/>
          <w:kern w:val="0"/>
          <w:sz w:val="32"/>
          <w:szCs w:val="23"/>
          <w14:textFill>
            <w14:solidFill>
              <w14:schemeClr w14:val="tx1"/>
            </w14:solidFill>
          </w14:textFill>
        </w:rPr>
        <w:t xml:space="preserve"> 重点企业研究院采取“先建设，后认定”的工作机制，由依托企业自主建设、自主管理，建设完成并达到认定条件后，向市科技主管部门申请认定。</w:t>
      </w:r>
    </w:p>
    <w:p>
      <w:pPr>
        <w:spacing w:line="560" w:lineRule="exact"/>
        <w:ind w:firstLine="643" w:firstLineChars="200"/>
        <w:jc w:val="left"/>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b/>
          <w:color w:val="000000" w:themeColor="text1"/>
          <w:kern w:val="0"/>
          <w:sz w:val="32"/>
          <w:szCs w:val="23"/>
          <w14:textFill>
            <w14:solidFill>
              <w14:schemeClr w14:val="tx1"/>
            </w14:solidFill>
          </w14:textFill>
        </w:rPr>
        <w:t>第</w:t>
      </w:r>
      <w:r>
        <w:rPr>
          <w:rFonts w:hint="eastAsia" w:ascii="仿宋_GB2312" w:hAnsi="仿宋_GB2312" w:eastAsia="仿宋_GB2312" w:cs="宋体"/>
          <w:b/>
          <w:color w:val="000000" w:themeColor="text1"/>
          <w:kern w:val="0"/>
          <w:sz w:val="32"/>
          <w:szCs w:val="23"/>
          <w:lang w:eastAsia="zh-CN"/>
          <w14:textFill>
            <w14:solidFill>
              <w14:schemeClr w14:val="tx1"/>
            </w14:solidFill>
          </w14:textFill>
        </w:rPr>
        <w:t>八</w:t>
      </w:r>
      <w:r>
        <w:rPr>
          <w:rFonts w:hint="eastAsia" w:ascii="仿宋_GB2312" w:hAnsi="仿宋_GB2312" w:eastAsia="仿宋_GB2312" w:cs="宋体"/>
          <w:b/>
          <w:color w:val="000000" w:themeColor="text1"/>
          <w:kern w:val="0"/>
          <w:sz w:val="32"/>
          <w:szCs w:val="23"/>
          <w14:textFill>
            <w14:solidFill>
              <w14:schemeClr w14:val="tx1"/>
            </w14:solidFill>
          </w14:textFill>
        </w:rPr>
        <w:t xml:space="preserve">条 </w:t>
      </w:r>
      <w:r>
        <w:rPr>
          <w:rFonts w:hint="eastAsia" w:ascii="仿宋_GB2312" w:hAnsi="仿宋_GB2312" w:eastAsia="仿宋_GB2312" w:cs="宋体"/>
          <w:color w:val="000000" w:themeColor="text1"/>
          <w:kern w:val="0"/>
          <w:sz w:val="32"/>
          <w:szCs w:val="23"/>
          <w14:textFill>
            <w14:solidFill>
              <w14:schemeClr w14:val="tx1"/>
            </w14:solidFill>
          </w14:textFill>
        </w:rPr>
        <w:t>依托企业建设重点企业研究院，申请认定，应同时具备以下基本条件：</w:t>
      </w:r>
    </w:p>
    <w:p>
      <w:pPr>
        <w:adjustRightInd w:val="0"/>
        <w:snapToGrid w:val="0"/>
        <w:spacing w:line="560" w:lineRule="exact"/>
        <w:ind w:firstLine="640" w:firstLineChars="200"/>
        <w:jc w:val="left"/>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（一）</w:t>
      </w:r>
      <w:r>
        <w:rPr>
          <w:rFonts w:hint="eastAsia" w:ascii="仿宋_GB2312" w:hAnsi="仿宋" w:eastAsia="仿宋_GB2312"/>
          <w:color w:val="000000" w:themeColor="text1"/>
          <w:sz w:val="32"/>
          <w:szCs w:val="32"/>
          <w14:textFill>
            <w14:solidFill>
              <w14:schemeClr w14:val="tx1"/>
            </w14:solidFill>
          </w14:textFill>
        </w:rPr>
        <w:t>依托企业应当是在深圳市或深汕合作区依法注册、具有独立法人资格的国家或深圳市高新技术企业，且拥有至少一个已批准建设或已验收的市级（含）以上创新载体（包括</w:t>
      </w:r>
      <w:r>
        <w:rPr>
          <w:rFonts w:hint="eastAsia" w:ascii="仿宋_GB2312" w:hAnsi="仿宋_GB2312" w:eastAsia="仿宋_GB2312" w:cs="宋体"/>
          <w:color w:val="000000" w:themeColor="text1"/>
          <w:kern w:val="0"/>
          <w:sz w:val="32"/>
          <w:szCs w:val="23"/>
          <w14:textFill>
            <w14:solidFill>
              <w14:schemeClr w14:val="tx1"/>
            </w14:solidFill>
          </w14:textFill>
        </w:rPr>
        <w:t>重点实验室、工程实验室、工程技术研究中心、企业技术中心、公共技术服务平台等</w:t>
      </w:r>
      <w:r>
        <w:rPr>
          <w:rFonts w:hint="eastAsia" w:ascii="仿宋_GB2312" w:hAnsi="仿宋" w:eastAsia="仿宋_GB2312"/>
          <w:color w:val="000000" w:themeColor="text1"/>
          <w:sz w:val="32"/>
          <w:szCs w:val="32"/>
          <w14:textFill>
            <w14:solidFill>
              <w14:schemeClr w14:val="tx1"/>
            </w14:solidFill>
          </w14:textFill>
        </w:rPr>
        <w:t>）</w:t>
      </w:r>
      <w:r>
        <w:rPr>
          <w:rFonts w:hint="eastAsia" w:ascii="仿宋_GB2312" w:hAnsi="仿宋_GB2312" w:eastAsia="仿宋_GB2312" w:cs="宋体"/>
          <w:color w:val="000000" w:themeColor="text1"/>
          <w:kern w:val="0"/>
          <w:sz w:val="32"/>
          <w:szCs w:val="23"/>
          <w14:textFill>
            <w14:solidFill>
              <w14:schemeClr w14:val="tx1"/>
            </w14:solidFill>
          </w14:textFill>
        </w:rPr>
        <w:t>。</w:t>
      </w:r>
    </w:p>
    <w:p>
      <w:pPr>
        <w:adjustRightInd w:val="0"/>
        <w:snapToGrid w:val="0"/>
        <w:spacing w:line="560" w:lineRule="exact"/>
        <w:ind w:firstLine="640" w:firstLineChars="200"/>
        <w:jc w:val="left"/>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（二）依托企业近两年每年主营业务收入超过5亿元；近两年每年企业研发费用占同期销售收入总额比例不低于4%，或每年按高新技术企业认定管理办法经专项审计的研发费用4000万元以上。</w:t>
      </w:r>
    </w:p>
    <w:p>
      <w:pPr>
        <w:adjustRightInd w:val="0"/>
        <w:snapToGrid w:val="0"/>
        <w:spacing w:line="560" w:lineRule="exact"/>
        <w:ind w:firstLine="640" w:firstLineChars="200"/>
        <w:jc w:val="left"/>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三）依托企业在其申报领域拥有自主知识产权且近三年获得授权的有效知识产权（包括发明专利、实用新型专利、植物新品种、国家级农作物品种、国家新药、国家一级中药保护品种、软件著作权、集成电路布图设计专有权，不含商标）总数不少于30件，通过受让、受赠、并购等非自主研发方式拥有的知识产权不得超过总量的30%；其中，非软件开发、集成电路设计、植物新品种研究等企业，发明专利和实用新型专利总数不得低于20件；</w:t>
      </w:r>
      <w:r>
        <w:rPr>
          <w:rFonts w:hint="eastAsia" w:ascii="仿宋_GB2312" w:hAnsi="Arial" w:eastAsia="仿宋_GB2312" w:cs="Arial"/>
          <w:color w:val="000000" w:themeColor="text1"/>
          <w:kern w:val="0"/>
          <w:sz w:val="32"/>
          <w:szCs w:val="32"/>
          <w14:textFill>
            <w14:solidFill>
              <w14:schemeClr w14:val="tx1"/>
            </w14:solidFill>
          </w14:textFill>
        </w:rPr>
        <w:t>或首次获得药品临床批件、临床</w:t>
      </w:r>
      <w:r>
        <w:rPr>
          <w:rFonts w:ascii="仿宋_GB2312" w:hAnsi="Arial" w:eastAsia="仿宋_GB2312" w:cs="Arial"/>
          <w:color w:val="000000" w:themeColor="text1"/>
          <w:kern w:val="0"/>
          <w:sz w:val="32"/>
          <w:szCs w:val="32"/>
          <w14:textFill>
            <w14:solidFill>
              <w14:schemeClr w14:val="tx1"/>
            </w14:solidFill>
          </w14:textFill>
        </w:rPr>
        <w:t>BE备案数不少于5个，或</w:t>
      </w:r>
      <w:r>
        <w:rPr>
          <w:rFonts w:hint="eastAsia" w:ascii="仿宋_GB2312" w:hAnsi="Arial" w:eastAsia="仿宋_GB2312" w:cs="Arial"/>
          <w:color w:val="000000" w:themeColor="text1"/>
          <w:kern w:val="0"/>
          <w:sz w:val="32"/>
          <w:szCs w:val="32"/>
          <w14:textFill>
            <w14:solidFill>
              <w14:schemeClr w14:val="tx1"/>
            </w14:solidFill>
          </w14:textFill>
        </w:rPr>
        <w:t>首次获得药品生产批件数不少于</w:t>
      </w:r>
      <w:r>
        <w:rPr>
          <w:rFonts w:ascii="仿宋_GB2312" w:hAnsi="Arial" w:eastAsia="仿宋_GB2312" w:cs="Arial"/>
          <w:color w:val="000000" w:themeColor="text1"/>
          <w:kern w:val="0"/>
          <w:sz w:val="32"/>
          <w:szCs w:val="32"/>
          <w14:textFill>
            <w14:solidFill>
              <w14:schemeClr w14:val="tx1"/>
            </w14:solidFill>
          </w14:textFill>
        </w:rPr>
        <w:t>3个，或获得新药证书不少于1个。</w:t>
      </w:r>
    </w:p>
    <w:p>
      <w:pPr>
        <w:adjustRightInd w:val="0"/>
        <w:snapToGrid w:val="0"/>
        <w:spacing w:line="560" w:lineRule="exact"/>
        <w:ind w:firstLine="640" w:firstLineChars="200"/>
        <w:jc w:val="left"/>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四）重点企业研究院院长应具有高级职称或博士学位，具有承担国家、省、市科研项目的经验，同时重点企业研究院拥有专职研发人员50人以上，具有中、高级职称或硕士、博士学位人数比例30％以上，其中具有高级职称或博士学位人数不少于8名。以上专职研发人员均应在依托企业全职工作。</w:t>
      </w:r>
    </w:p>
    <w:p>
      <w:pPr>
        <w:adjustRightInd w:val="0"/>
        <w:snapToGrid w:val="0"/>
        <w:spacing w:line="560" w:lineRule="exact"/>
        <w:ind w:firstLine="640" w:firstLineChars="200"/>
        <w:jc w:val="left"/>
        <w:rPr>
          <w:rFonts w:hint="eastAsia"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（五）重点企业研究院具备基础研发条件和设施，研发专门用房面积1000平方米以上，仪器设备及专用软件的现值不低于2000万元（软件类重点企业研究院相应的现值不低于1500万元）。</w:t>
      </w:r>
    </w:p>
    <w:p>
      <w:pPr>
        <w:spacing w:line="560" w:lineRule="exact"/>
        <w:ind w:firstLine="643" w:firstLineChars="200"/>
        <w:jc w:val="left"/>
        <w:rPr>
          <w:rFonts w:hint="eastAsia" w:ascii="仿宋_GB2312" w:hAnsi="仿宋_GB2312" w:eastAsia="仿宋_GB2312" w:cs="宋体"/>
          <w:color w:val="000000" w:themeColor="text1"/>
          <w:kern w:val="0"/>
          <w:sz w:val="32"/>
          <w:szCs w:val="23"/>
          <w:lang w:eastAsia="zh-CN"/>
          <w14:textFill>
            <w14:solidFill>
              <w14:schemeClr w14:val="tx1"/>
            </w14:solidFill>
          </w14:textFill>
        </w:rPr>
      </w:pPr>
      <w:r>
        <w:rPr>
          <w:rFonts w:hint="eastAsia" w:ascii="仿宋_GB2312" w:hAnsi="仿宋_GB2312" w:eastAsia="仿宋_GB2312" w:cs="宋体"/>
          <w:b/>
          <w:color w:val="000000" w:themeColor="text1"/>
          <w:kern w:val="0"/>
          <w:sz w:val="32"/>
          <w:szCs w:val="23"/>
          <w14:textFill>
            <w14:solidFill>
              <w14:schemeClr w14:val="tx1"/>
            </w14:solidFill>
          </w14:textFill>
        </w:rPr>
        <w:t>第</w:t>
      </w:r>
      <w:r>
        <w:rPr>
          <w:rFonts w:hint="eastAsia" w:ascii="仿宋_GB2312" w:hAnsi="仿宋_GB2312" w:eastAsia="仿宋_GB2312" w:cs="宋体"/>
          <w:b/>
          <w:color w:val="000000" w:themeColor="text1"/>
          <w:kern w:val="0"/>
          <w:sz w:val="32"/>
          <w:szCs w:val="23"/>
          <w:lang w:eastAsia="zh-CN"/>
          <w14:textFill>
            <w14:solidFill>
              <w14:schemeClr w14:val="tx1"/>
            </w14:solidFill>
          </w14:textFill>
        </w:rPr>
        <w:t>九</w:t>
      </w:r>
      <w:r>
        <w:rPr>
          <w:rFonts w:hint="eastAsia" w:ascii="仿宋_GB2312" w:hAnsi="仿宋_GB2312" w:eastAsia="仿宋_GB2312" w:cs="宋体"/>
          <w:b/>
          <w:color w:val="000000" w:themeColor="text1"/>
          <w:kern w:val="0"/>
          <w:sz w:val="32"/>
          <w:szCs w:val="23"/>
          <w14:textFill>
            <w14:solidFill>
              <w14:schemeClr w14:val="tx1"/>
            </w14:solidFill>
          </w14:textFill>
        </w:rPr>
        <w:t xml:space="preserve">条 </w:t>
      </w:r>
      <w:r>
        <w:rPr>
          <w:rFonts w:hint="eastAsia" w:ascii="仿宋_GB2312" w:hAnsi="仿宋_GB2312" w:eastAsia="仿宋_GB2312" w:cs="宋体"/>
          <w:color w:val="000000" w:themeColor="text1"/>
          <w:kern w:val="0"/>
          <w:sz w:val="32"/>
          <w:szCs w:val="23"/>
          <w14:textFill>
            <w14:solidFill>
              <w14:schemeClr w14:val="tx1"/>
            </w14:solidFill>
          </w14:textFill>
        </w:rPr>
        <w:t>依托企业</w:t>
      </w:r>
      <w:r>
        <w:rPr>
          <w:rFonts w:hint="eastAsia" w:ascii="仿宋_GB2312" w:hAnsi="仿宋_GB2312" w:eastAsia="仿宋_GB2312" w:cs="宋体"/>
          <w:color w:val="000000" w:themeColor="text1"/>
          <w:kern w:val="0"/>
          <w:sz w:val="32"/>
          <w:szCs w:val="23"/>
          <w:lang w:eastAsia="zh-CN"/>
          <w14:textFill>
            <w14:solidFill>
              <w14:schemeClr w14:val="tx1"/>
            </w14:solidFill>
          </w14:textFill>
        </w:rPr>
        <w:t>审定认定</w:t>
      </w:r>
      <w:r>
        <w:rPr>
          <w:rFonts w:hint="eastAsia" w:ascii="仿宋_GB2312" w:hAnsi="仿宋_GB2312" w:eastAsia="仿宋_GB2312" w:cs="宋体"/>
          <w:color w:val="000000" w:themeColor="text1"/>
          <w:kern w:val="0"/>
          <w:sz w:val="32"/>
          <w:szCs w:val="23"/>
          <w14:textFill>
            <w14:solidFill>
              <w14:schemeClr w14:val="tx1"/>
            </w14:solidFill>
          </w14:textFill>
        </w:rPr>
        <w:t>，</w:t>
      </w:r>
      <w:r>
        <w:rPr>
          <w:rFonts w:hint="eastAsia" w:ascii="仿宋_GB2312" w:hAnsi="仿宋_GB2312" w:eastAsia="仿宋_GB2312" w:cs="宋体"/>
          <w:color w:val="000000" w:themeColor="text1"/>
          <w:kern w:val="0"/>
          <w:sz w:val="32"/>
          <w:szCs w:val="23"/>
          <w:lang w:eastAsia="zh-CN"/>
          <w14:textFill>
            <w14:solidFill>
              <w14:schemeClr w14:val="tx1"/>
            </w14:solidFill>
          </w14:textFill>
        </w:rPr>
        <w:t>应按要求</w:t>
      </w:r>
      <w:r>
        <w:rPr>
          <w:rFonts w:hint="eastAsia" w:ascii="仿宋_GB2312" w:hAnsi="仿宋_GB2312" w:eastAsia="仿宋_GB2312" w:cs="宋体"/>
          <w:color w:val="000000" w:themeColor="text1"/>
          <w:kern w:val="0"/>
          <w:sz w:val="32"/>
          <w:szCs w:val="23"/>
          <w14:textFill>
            <w14:solidFill>
              <w14:schemeClr w14:val="tx1"/>
            </w14:solidFill>
          </w14:textFill>
        </w:rPr>
        <w:t>提交《深圳市重点企业研究院支持项目申请书》（附件1）、《深圳市重点企业研究院建设成果报告》（附件2）等申报材料</w:t>
      </w:r>
      <w:r>
        <w:rPr>
          <w:rFonts w:hint="eastAsia" w:ascii="仿宋_GB2312" w:hAnsi="仿宋_GB2312" w:eastAsia="仿宋_GB2312" w:cs="宋体"/>
          <w:color w:val="000000" w:themeColor="text1"/>
          <w:kern w:val="0"/>
          <w:sz w:val="32"/>
          <w:szCs w:val="23"/>
          <w:lang w:eastAsia="zh-CN"/>
          <w14:textFill>
            <w14:solidFill>
              <w14:schemeClr w14:val="tx1"/>
            </w14:solidFill>
          </w14:textFill>
        </w:rPr>
        <w:t>。</w:t>
      </w:r>
    </w:p>
    <w:p>
      <w:pPr>
        <w:spacing w:line="560" w:lineRule="exact"/>
        <w:ind w:firstLine="643" w:firstLineChars="200"/>
        <w:jc w:val="left"/>
        <w:rPr>
          <w:rFonts w:ascii="仿宋_GB2312" w:hAnsi="仿宋_GB2312" w:eastAsia="仿宋_GB2312" w:cs="宋体"/>
          <w:b/>
          <w:color w:val="000000" w:themeColor="text1"/>
          <w:kern w:val="0"/>
          <w:sz w:val="32"/>
          <w:szCs w:val="23"/>
          <w14:textFill>
            <w14:solidFill>
              <w14:schemeClr w14:val="tx1"/>
            </w14:solidFill>
          </w14:textFill>
        </w:rPr>
      </w:pPr>
      <w:r>
        <w:rPr>
          <w:rFonts w:hint="eastAsia" w:ascii="仿宋_GB2312" w:hAnsi="仿宋_GB2312" w:eastAsia="仿宋_GB2312" w:cs="宋体"/>
          <w:b/>
          <w:color w:val="000000" w:themeColor="text1"/>
          <w:kern w:val="0"/>
          <w:sz w:val="32"/>
          <w:szCs w:val="23"/>
          <w14:textFill>
            <w14:solidFill>
              <w14:schemeClr w14:val="tx1"/>
            </w14:solidFill>
          </w14:textFill>
        </w:rPr>
        <w:t>第</w:t>
      </w:r>
      <w:r>
        <w:rPr>
          <w:rFonts w:hint="eastAsia" w:ascii="仿宋_GB2312" w:hAnsi="仿宋_GB2312" w:eastAsia="仿宋_GB2312" w:cs="宋体"/>
          <w:b/>
          <w:color w:val="000000" w:themeColor="text1"/>
          <w:kern w:val="0"/>
          <w:sz w:val="32"/>
          <w:szCs w:val="23"/>
          <w:lang w:eastAsia="zh-CN"/>
          <w14:textFill>
            <w14:solidFill>
              <w14:schemeClr w14:val="tx1"/>
            </w14:solidFill>
          </w14:textFill>
        </w:rPr>
        <w:t>十</w:t>
      </w:r>
      <w:r>
        <w:rPr>
          <w:rFonts w:hint="eastAsia" w:ascii="仿宋_GB2312" w:hAnsi="仿宋_GB2312" w:eastAsia="仿宋_GB2312" w:cs="宋体"/>
          <w:b/>
          <w:color w:val="000000" w:themeColor="text1"/>
          <w:kern w:val="0"/>
          <w:sz w:val="32"/>
          <w:szCs w:val="23"/>
          <w14:textFill>
            <w14:solidFill>
              <w14:schemeClr w14:val="tx1"/>
            </w14:solidFill>
          </w14:textFill>
        </w:rPr>
        <w:t>条</w:t>
      </w:r>
      <w:r>
        <w:rPr>
          <w:rFonts w:hint="eastAsia" w:ascii="仿宋_GB2312" w:hAnsi="仿宋_GB2312" w:eastAsia="仿宋_GB2312" w:cs="宋体"/>
          <w:color w:val="000000" w:themeColor="text1"/>
          <w:kern w:val="0"/>
          <w:sz w:val="32"/>
          <w:szCs w:val="23"/>
          <w14:textFill>
            <w14:solidFill>
              <w14:schemeClr w14:val="tx1"/>
            </w14:solidFill>
          </w14:textFill>
        </w:rPr>
        <w:t xml:space="preserve"> 重点企业研究院的认定，原则上每年组织一次。</w:t>
      </w:r>
    </w:p>
    <w:p>
      <w:pPr>
        <w:adjustRightInd w:val="0"/>
        <w:snapToGrid w:val="0"/>
        <w:spacing w:line="560" w:lineRule="exact"/>
        <w:ind w:firstLine="643" w:firstLineChars="200"/>
        <w:jc w:val="left"/>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b/>
          <w:color w:val="000000" w:themeColor="text1"/>
          <w:kern w:val="0"/>
          <w:sz w:val="32"/>
          <w:szCs w:val="23"/>
          <w14:textFill>
            <w14:solidFill>
              <w14:schemeClr w14:val="tx1"/>
            </w14:solidFill>
          </w14:textFill>
        </w:rPr>
        <w:t>第十一条</w:t>
      </w:r>
      <w:r>
        <w:rPr>
          <w:rFonts w:hint="eastAsia" w:ascii="仿宋_GB2312" w:hAnsi="Calibri" w:eastAsia="仿宋_GB2312" w:cs="Calibri"/>
          <w:color w:val="000000" w:themeColor="text1"/>
          <w:kern w:val="0"/>
          <w:sz w:val="32"/>
          <w:szCs w:val="23"/>
          <w14:textFill>
            <w14:solidFill>
              <w14:schemeClr w14:val="tx1"/>
            </w14:solidFill>
          </w14:textFill>
        </w:rPr>
        <w:t xml:space="preserve"> </w:t>
      </w:r>
      <w:r>
        <w:rPr>
          <w:rFonts w:hint="eastAsia" w:ascii="仿宋_GB2312" w:hAnsi="仿宋_GB2312" w:eastAsia="仿宋_GB2312" w:cs="宋体"/>
          <w:color w:val="000000" w:themeColor="text1"/>
          <w:kern w:val="0"/>
          <w:sz w:val="32"/>
          <w:szCs w:val="23"/>
          <w14:textFill>
            <w14:solidFill>
              <w14:schemeClr w14:val="tx1"/>
            </w14:solidFill>
          </w14:textFill>
        </w:rPr>
        <w:t>依托企业应独立申请认定，同一个法人限申报1个重点企业研究院。</w:t>
      </w:r>
    </w:p>
    <w:p>
      <w:pPr>
        <w:adjustRightInd w:val="0"/>
        <w:snapToGrid w:val="0"/>
        <w:spacing w:line="560" w:lineRule="exact"/>
        <w:ind w:firstLine="643" w:firstLineChars="200"/>
        <w:jc w:val="left"/>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Calibri" w:eastAsia="仿宋_GB2312" w:cs="Calibri"/>
          <w:b/>
          <w:color w:val="000000" w:themeColor="text1"/>
          <w:kern w:val="0"/>
          <w:sz w:val="32"/>
          <w:szCs w:val="23"/>
          <w14:textFill>
            <w14:solidFill>
              <w14:schemeClr w14:val="tx1"/>
            </w14:solidFill>
          </w14:textFill>
        </w:rPr>
        <w:t>第十二条</w:t>
      </w:r>
      <w:r>
        <w:rPr>
          <w:rFonts w:hint="eastAsia" w:ascii="仿宋_GB2312" w:hAnsi="Calibri" w:eastAsia="仿宋_GB2312" w:cs="Calibri"/>
          <w:color w:val="000000" w:themeColor="text1"/>
          <w:kern w:val="0"/>
          <w:sz w:val="32"/>
          <w:szCs w:val="23"/>
          <w14:textFill>
            <w14:solidFill>
              <w14:schemeClr w14:val="tx1"/>
            </w14:solidFill>
          </w14:textFill>
        </w:rPr>
        <w:t xml:space="preserve"> 鼓励重点企业研究院设立专家咨询委员会。专家咨询委员会由本领域的著名专家、学者组成，由重点企业研究院依托企业聘任，负责对研究院的发展规划、研发内容和技术创新进行建议和指导。</w:t>
      </w:r>
    </w:p>
    <w:p>
      <w:pPr>
        <w:adjustRightInd w:val="0"/>
        <w:snapToGrid w:val="0"/>
        <w:spacing w:line="560" w:lineRule="exact"/>
        <w:ind w:firstLine="643" w:firstLineChars="200"/>
        <w:jc w:val="left"/>
        <w:rPr>
          <w:rFonts w:ascii="仿宋_GB2312" w:hAnsi="Calibri" w:eastAsia="仿宋_GB2312" w:cs="Calibri"/>
          <w:color w:val="000000" w:themeColor="text1"/>
          <w:kern w:val="0"/>
          <w:sz w:val="32"/>
          <w:szCs w:val="23"/>
          <w14:textFill>
            <w14:solidFill>
              <w14:schemeClr w14:val="tx1"/>
            </w14:solidFill>
          </w14:textFill>
        </w:rPr>
      </w:pPr>
      <w:r>
        <w:rPr>
          <w:rFonts w:hint="eastAsia" w:ascii="仿宋_GB2312" w:hAnsi="仿宋_GB2312" w:eastAsia="仿宋_GB2312" w:cs="宋体"/>
          <w:b/>
          <w:color w:val="000000" w:themeColor="text1"/>
          <w:kern w:val="0"/>
          <w:sz w:val="32"/>
          <w:szCs w:val="23"/>
          <w14:textFill>
            <w14:solidFill>
              <w14:schemeClr w14:val="tx1"/>
            </w14:solidFill>
          </w14:textFill>
        </w:rPr>
        <w:t>第十三条</w:t>
      </w:r>
      <w:r>
        <w:rPr>
          <w:rFonts w:hint="eastAsia" w:ascii="仿宋_GB2312" w:hAnsi="Calibri" w:eastAsia="仿宋_GB2312" w:cs="Calibri"/>
          <w:color w:val="000000" w:themeColor="text1"/>
          <w:kern w:val="0"/>
          <w:sz w:val="32"/>
          <w:szCs w:val="23"/>
          <w14:textFill>
            <w14:solidFill>
              <w14:schemeClr w14:val="tx1"/>
            </w14:solidFill>
          </w14:textFill>
        </w:rPr>
        <w:t xml:space="preserve"> 市科技主管部门根据认定要求对申报材料进行形式审查。通过形式审查的，市科技主管部门组织专家依据《深圳市重点企业研究院认定指标体系》对依托企业进行评审，并开展现场核查。</w:t>
      </w:r>
    </w:p>
    <w:p>
      <w:pPr>
        <w:adjustRightInd w:val="0"/>
        <w:snapToGrid w:val="0"/>
        <w:spacing w:line="560" w:lineRule="exact"/>
        <w:ind w:firstLine="643" w:firstLineChars="200"/>
        <w:jc w:val="left"/>
        <w:rPr>
          <w:rFonts w:ascii="仿宋_GB2312" w:hAnsi="Calibri" w:eastAsia="仿宋_GB2312" w:cs="Calibri"/>
          <w:color w:val="000000" w:themeColor="text1"/>
          <w:kern w:val="0"/>
          <w:sz w:val="32"/>
          <w:szCs w:val="23"/>
          <w14:textFill>
            <w14:solidFill>
              <w14:schemeClr w14:val="tx1"/>
            </w14:solidFill>
          </w14:textFill>
        </w:rPr>
      </w:pPr>
      <w:r>
        <w:rPr>
          <w:rFonts w:hint="eastAsia" w:ascii="仿宋_GB2312" w:hAnsi="仿宋_GB2312" w:eastAsia="仿宋_GB2312" w:cs="宋体"/>
          <w:b/>
          <w:color w:val="000000" w:themeColor="text1"/>
          <w:kern w:val="0"/>
          <w:sz w:val="32"/>
          <w:szCs w:val="23"/>
          <w14:textFill>
            <w14:solidFill>
              <w14:schemeClr w14:val="tx1"/>
            </w14:solidFill>
          </w14:textFill>
        </w:rPr>
        <w:t>第十四条</w:t>
      </w:r>
      <w:r>
        <w:rPr>
          <w:rFonts w:hint="eastAsia" w:ascii="仿宋_GB2312" w:hAnsi="Calibri" w:eastAsia="仿宋_GB2312" w:cs="Calibri"/>
          <w:color w:val="000000" w:themeColor="text1"/>
          <w:kern w:val="0"/>
          <w:sz w:val="32"/>
          <w:szCs w:val="23"/>
          <w14:textFill>
            <w14:solidFill>
              <w14:schemeClr w14:val="tx1"/>
            </w14:solidFill>
          </w14:textFill>
        </w:rPr>
        <w:t xml:space="preserve"> 市科技主管部门根据专家评审、现场核查和专项审计意见，确定深圳市重点企业研究院拟认定名单。市科技主管部门在官方网站将拟认定名单向社会公示10日。公示期满无异议或经核查异议不成立的，予以认定；对经核查异议成立的，取消拟认定资格。</w:t>
      </w:r>
    </w:p>
    <w:p>
      <w:pPr>
        <w:adjustRightInd w:val="0"/>
        <w:snapToGrid w:val="0"/>
        <w:spacing w:line="560" w:lineRule="exact"/>
        <w:ind w:firstLine="643" w:firstLineChars="200"/>
        <w:jc w:val="left"/>
        <w:rPr>
          <w:rFonts w:ascii="仿宋_GB2312" w:hAnsi="仿宋_GB2312" w:eastAsia="仿宋_GB2312" w:cs="宋体"/>
          <w:b/>
          <w:color w:val="000000" w:themeColor="text1"/>
          <w:kern w:val="0"/>
          <w:sz w:val="32"/>
          <w:szCs w:val="23"/>
          <w14:textFill>
            <w14:solidFill>
              <w14:schemeClr w14:val="tx1"/>
            </w14:solidFill>
          </w14:textFill>
        </w:rPr>
      </w:pPr>
      <w:r>
        <w:rPr>
          <w:rFonts w:hint="eastAsia" w:ascii="仿宋_GB2312" w:hAnsi="仿宋_GB2312" w:eastAsia="仿宋_GB2312" w:cs="宋体"/>
          <w:b/>
          <w:color w:val="000000" w:themeColor="text1"/>
          <w:kern w:val="0"/>
          <w:sz w:val="32"/>
          <w:szCs w:val="23"/>
          <w14:textFill>
            <w14:solidFill>
              <w14:schemeClr w14:val="tx1"/>
            </w14:solidFill>
          </w14:textFill>
        </w:rPr>
        <w:t>第十五条</w:t>
      </w:r>
      <w:r>
        <w:rPr>
          <w:rFonts w:hint="eastAsia" w:ascii="仿宋_GB2312" w:hAnsi="Calibri" w:eastAsia="仿宋_GB2312" w:cs="Calibri"/>
          <w:color w:val="000000" w:themeColor="text1"/>
          <w:kern w:val="0"/>
          <w:sz w:val="32"/>
          <w:szCs w:val="23"/>
          <w14:textFill>
            <w14:solidFill>
              <w14:schemeClr w14:val="tx1"/>
            </w14:solidFill>
          </w14:textFill>
        </w:rPr>
        <w:t xml:space="preserve"> 市科技主管部门对认定的重点企业研究院采取事后资助的方式，</w:t>
      </w:r>
      <w:r>
        <w:rPr>
          <w:rFonts w:hint="eastAsia" w:ascii="仿宋_GB2312" w:hAnsi="Arial" w:eastAsia="仿宋_GB2312" w:cs="Arial"/>
          <w:color w:val="000000" w:themeColor="text1"/>
          <w:kern w:val="0"/>
          <w:sz w:val="32"/>
          <w:szCs w:val="32"/>
          <w14:textFill>
            <w14:solidFill>
              <w14:schemeClr w14:val="tx1"/>
            </w14:solidFill>
          </w14:textFill>
        </w:rPr>
        <w:t>资助金额按依托企业上一年度符合加计扣除政策实际发生的自筹研发费用30%予以支持</w:t>
      </w:r>
      <w:r>
        <w:rPr>
          <w:rFonts w:hint="eastAsia" w:ascii="仿宋_GB2312" w:hAnsi="Calibri" w:eastAsia="仿宋_GB2312" w:cs="Calibri"/>
          <w:color w:val="000000" w:themeColor="text1"/>
          <w:kern w:val="0"/>
          <w:sz w:val="32"/>
          <w:szCs w:val="23"/>
          <w14:textFill>
            <w14:solidFill>
              <w14:schemeClr w14:val="tx1"/>
            </w14:solidFill>
          </w14:textFill>
        </w:rPr>
        <w:t>，最高不超过1000万元。</w:t>
      </w:r>
    </w:p>
    <w:p>
      <w:pPr>
        <w:adjustRightInd w:val="0"/>
        <w:snapToGrid w:val="0"/>
        <w:spacing w:line="560" w:lineRule="exact"/>
        <w:ind w:firstLine="643" w:firstLineChars="200"/>
        <w:jc w:val="left"/>
        <w:rPr>
          <w:rFonts w:ascii="仿宋_GB2312" w:hAnsi="Calibri" w:eastAsia="仿宋_GB2312" w:cs="Calibri"/>
          <w:color w:val="000000" w:themeColor="text1"/>
          <w:kern w:val="0"/>
          <w:sz w:val="32"/>
          <w:szCs w:val="23"/>
          <w14:textFill>
            <w14:solidFill>
              <w14:schemeClr w14:val="tx1"/>
            </w14:solidFill>
          </w14:textFill>
        </w:rPr>
      </w:pPr>
      <w:r>
        <w:rPr>
          <w:rFonts w:hint="eastAsia" w:ascii="仿宋_GB2312" w:hAnsi="仿宋_GB2312" w:eastAsia="仿宋_GB2312" w:cs="宋体"/>
          <w:b/>
          <w:color w:val="000000" w:themeColor="text1"/>
          <w:kern w:val="0"/>
          <w:sz w:val="32"/>
          <w:szCs w:val="23"/>
          <w14:textFill>
            <w14:solidFill>
              <w14:schemeClr w14:val="tx1"/>
            </w14:solidFill>
          </w14:textFill>
        </w:rPr>
        <w:t>第十六条</w:t>
      </w:r>
      <w:r>
        <w:rPr>
          <w:rFonts w:hint="eastAsia" w:ascii="仿宋_GB2312" w:hAnsi="Calibri" w:eastAsia="仿宋_GB2312" w:cs="Calibri"/>
          <w:color w:val="000000" w:themeColor="text1"/>
          <w:kern w:val="0"/>
          <w:sz w:val="32"/>
          <w:szCs w:val="23"/>
          <w14:textFill>
            <w14:solidFill>
              <w14:schemeClr w14:val="tx1"/>
            </w14:solidFill>
          </w14:textFill>
        </w:rPr>
        <w:t xml:space="preserve"> 财政资助资金应按照《深圳市科技研发资金管理办法》、《关于促进科技创新的若干措施》等相关管理办法规范使用，专项用于重点企业研究院的发展，包括引进人才、购置研发设备购置、增加研发场地面积等。</w:t>
      </w:r>
    </w:p>
    <w:p>
      <w:pPr>
        <w:widowControl/>
        <w:shd w:val="clear" w:color="auto" w:fill="FFFFFF"/>
        <w:adjustRightInd w:val="0"/>
        <w:snapToGrid w:val="0"/>
        <w:spacing w:line="560" w:lineRule="exact"/>
        <w:jc w:val="center"/>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第四章 后续管理</w:t>
      </w:r>
    </w:p>
    <w:p>
      <w:pPr>
        <w:adjustRightInd w:val="0"/>
        <w:snapToGrid w:val="0"/>
        <w:spacing w:line="560" w:lineRule="exact"/>
        <w:ind w:firstLine="643" w:firstLineChars="200"/>
        <w:jc w:val="left"/>
        <w:rPr>
          <w:rFonts w:ascii="仿宋_GB2312" w:hAnsi="Calibri" w:eastAsia="仿宋_GB2312" w:cs="Calibri"/>
          <w:color w:val="000000" w:themeColor="text1"/>
          <w:kern w:val="0"/>
          <w:sz w:val="32"/>
          <w:szCs w:val="23"/>
          <w14:textFill>
            <w14:solidFill>
              <w14:schemeClr w14:val="tx1"/>
            </w14:solidFill>
          </w14:textFill>
        </w:rPr>
      </w:pPr>
      <w:r>
        <w:rPr>
          <w:rFonts w:hint="eastAsia" w:ascii="仿宋_GB2312" w:hAnsi="仿宋_GB2312" w:eastAsia="仿宋_GB2312" w:cs="宋体"/>
          <w:b/>
          <w:color w:val="000000" w:themeColor="text1"/>
          <w:kern w:val="0"/>
          <w:sz w:val="32"/>
          <w:szCs w:val="23"/>
          <w14:textFill>
            <w14:solidFill>
              <w14:schemeClr w14:val="tx1"/>
            </w14:solidFill>
          </w14:textFill>
        </w:rPr>
        <w:t>第十七条</w:t>
      </w:r>
      <w:r>
        <w:rPr>
          <w:rFonts w:hint="eastAsia" w:ascii="仿宋_GB2312" w:hAnsi="Calibri" w:eastAsia="仿宋_GB2312" w:cs="Calibri"/>
          <w:color w:val="000000" w:themeColor="text1"/>
          <w:kern w:val="0"/>
          <w:sz w:val="32"/>
          <w:szCs w:val="23"/>
          <w14:textFill>
            <w14:solidFill>
              <w14:schemeClr w14:val="tx1"/>
            </w14:solidFill>
          </w14:textFill>
        </w:rPr>
        <w:t xml:space="preserve"> 重点企业研究院依托企业发生重大变化，按照《深圳市科技计划项目监督和结题管理办法》相关规定执行，应在发生之日起三个月内将有关情况向市科技主管部门报备，市科技主管部门对相关情况进行审核处理。</w:t>
      </w:r>
    </w:p>
    <w:p>
      <w:pPr>
        <w:adjustRightInd w:val="0"/>
        <w:snapToGrid w:val="0"/>
        <w:spacing w:line="560" w:lineRule="exact"/>
        <w:ind w:firstLine="643" w:firstLineChars="200"/>
        <w:jc w:val="left"/>
        <w:rPr>
          <w:rFonts w:ascii="仿宋_GB2312" w:hAnsi="Calibri" w:eastAsia="仿宋_GB2312" w:cs="Calibri"/>
          <w:color w:val="000000" w:themeColor="text1"/>
          <w:kern w:val="0"/>
          <w:sz w:val="32"/>
          <w:szCs w:val="23"/>
          <w14:textFill>
            <w14:solidFill>
              <w14:schemeClr w14:val="tx1"/>
            </w14:solidFill>
          </w14:textFill>
        </w:rPr>
      </w:pPr>
      <w:r>
        <w:rPr>
          <w:rFonts w:hint="eastAsia" w:ascii="仿宋_GB2312" w:hAnsi="仿宋_GB2312" w:eastAsia="仿宋_GB2312" w:cs="宋体"/>
          <w:b/>
          <w:color w:val="000000" w:themeColor="text1"/>
          <w:kern w:val="0"/>
          <w:sz w:val="32"/>
          <w:szCs w:val="23"/>
          <w14:textFill>
            <w14:solidFill>
              <w14:schemeClr w14:val="tx1"/>
            </w14:solidFill>
          </w14:textFill>
        </w:rPr>
        <w:t>第十八条</w:t>
      </w:r>
      <w:r>
        <w:rPr>
          <w:rFonts w:hint="eastAsia" w:ascii="仿宋_GB2312" w:hAnsi="Calibri" w:eastAsia="仿宋_GB2312" w:cs="Calibri"/>
          <w:color w:val="000000" w:themeColor="text1"/>
          <w:kern w:val="0"/>
          <w:sz w:val="32"/>
          <w:szCs w:val="23"/>
          <w14:textFill>
            <w14:solidFill>
              <w14:schemeClr w14:val="tx1"/>
            </w14:solidFill>
          </w14:textFill>
        </w:rPr>
        <w:t xml:space="preserve"> 重点企业研究院实行失信惩戒制度。凡是提供虚假申报材料、违规使用财政资助资金的依托企业和项目负责人，取消认定资格，并作为不良行为记入科技诚信档案。</w:t>
      </w:r>
    </w:p>
    <w:p>
      <w:pPr>
        <w:adjustRightInd w:val="0"/>
        <w:snapToGrid w:val="0"/>
        <w:spacing w:line="560" w:lineRule="exact"/>
        <w:ind w:firstLine="643" w:firstLineChars="200"/>
        <w:jc w:val="left"/>
        <w:rPr>
          <w:rFonts w:ascii="仿宋_GB2312" w:hAnsi="Calibri" w:eastAsia="仿宋_GB2312" w:cs="Calibri"/>
          <w:color w:val="000000" w:themeColor="text1"/>
          <w:kern w:val="0"/>
          <w:sz w:val="32"/>
          <w:szCs w:val="23"/>
          <w14:textFill>
            <w14:solidFill>
              <w14:schemeClr w14:val="tx1"/>
            </w14:solidFill>
          </w14:textFill>
        </w:rPr>
      </w:pPr>
      <w:r>
        <w:rPr>
          <w:rFonts w:hint="eastAsia" w:ascii="仿宋_GB2312" w:hAnsi="仿宋_GB2312" w:eastAsia="仿宋_GB2312" w:cs="宋体"/>
          <w:b/>
          <w:color w:val="000000" w:themeColor="text1"/>
          <w:kern w:val="0"/>
          <w:sz w:val="32"/>
          <w:szCs w:val="23"/>
          <w14:textFill>
            <w14:solidFill>
              <w14:schemeClr w14:val="tx1"/>
            </w14:solidFill>
          </w14:textFill>
        </w:rPr>
        <w:t>第十九条</w:t>
      </w:r>
      <w:r>
        <w:rPr>
          <w:rFonts w:hint="eastAsia" w:ascii="仿宋_GB2312" w:hAnsi="Calibri" w:eastAsia="仿宋_GB2312" w:cs="Calibri"/>
          <w:color w:val="000000" w:themeColor="text1"/>
          <w:kern w:val="0"/>
          <w:sz w:val="32"/>
          <w:szCs w:val="23"/>
          <w14:textFill>
            <w14:solidFill>
              <w14:schemeClr w14:val="tx1"/>
            </w14:solidFill>
          </w14:textFill>
        </w:rPr>
        <w:t xml:space="preserve"> 认定后，重点企业研究院应进一步完善管理制度和运行机制，进一步加强技术攻关，提升创新水平，为依托企业的持续发展提供技术支撑。</w:t>
      </w:r>
    </w:p>
    <w:p>
      <w:pPr>
        <w:adjustRightInd w:val="0"/>
        <w:snapToGrid w:val="0"/>
        <w:spacing w:line="560" w:lineRule="exact"/>
        <w:ind w:firstLine="643" w:firstLineChars="200"/>
        <w:jc w:val="left"/>
        <w:rPr>
          <w:rFonts w:ascii="仿宋_GB2312" w:hAnsi="Calibri" w:eastAsia="仿宋_GB2312" w:cs="Calibri"/>
          <w:color w:val="000000" w:themeColor="text1"/>
          <w:kern w:val="0"/>
          <w:sz w:val="32"/>
          <w:szCs w:val="23"/>
          <w14:textFill>
            <w14:solidFill>
              <w14:schemeClr w14:val="tx1"/>
            </w14:solidFill>
          </w14:textFill>
        </w:rPr>
      </w:pPr>
      <w:r>
        <w:rPr>
          <w:rFonts w:hint="eastAsia" w:ascii="仿宋_GB2312" w:hAnsi="仿宋_GB2312" w:eastAsia="仿宋_GB2312" w:cs="宋体"/>
          <w:b/>
          <w:color w:val="000000" w:themeColor="text1"/>
          <w:kern w:val="0"/>
          <w:sz w:val="32"/>
          <w:szCs w:val="23"/>
          <w14:textFill>
            <w14:solidFill>
              <w14:schemeClr w14:val="tx1"/>
            </w14:solidFill>
          </w14:textFill>
        </w:rPr>
        <w:t>第二十条</w:t>
      </w:r>
      <w:r>
        <w:rPr>
          <w:rFonts w:hint="eastAsia" w:ascii="仿宋_GB2312" w:hAnsi="Calibri" w:eastAsia="仿宋_GB2312" w:cs="Calibri"/>
          <w:color w:val="000000" w:themeColor="text1"/>
          <w:kern w:val="0"/>
          <w:sz w:val="32"/>
          <w:szCs w:val="23"/>
          <w14:textFill>
            <w14:solidFill>
              <w14:schemeClr w14:val="tx1"/>
            </w14:solidFill>
          </w14:textFill>
        </w:rPr>
        <w:t xml:space="preserve"> 认定后，重点企业研究院原则上每三年复核一次。重点企业研究院依托单位应在复核期满半年内主动向市科技主管部门申请复核，逾期取消重点企业研究院资格。</w:t>
      </w:r>
    </w:p>
    <w:p>
      <w:pPr>
        <w:adjustRightInd w:val="0"/>
        <w:snapToGrid w:val="0"/>
        <w:spacing w:line="560" w:lineRule="exact"/>
        <w:ind w:firstLine="643" w:firstLineChars="200"/>
        <w:jc w:val="left"/>
        <w:rPr>
          <w:rFonts w:ascii="仿宋_GB2312" w:hAnsi="Calibri" w:eastAsia="仿宋_GB2312" w:cs="Calibri"/>
          <w:color w:val="000000" w:themeColor="text1"/>
          <w:kern w:val="0"/>
          <w:sz w:val="32"/>
          <w:szCs w:val="23"/>
          <w14:textFill>
            <w14:solidFill>
              <w14:schemeClr w14:val="tx1"/>
            </w14:solidFill>
          </w14:textFill>
        </w:rPr>
      </w:pPr>
      <w:r>
        <w:rPr>
          <w:rFonts w:hint="eastAsia" w:ascii="仿宋_GB2312" w:hAnsi="仿宋_GB2312" w:eastAsia="仿宋_GB2312" w:cs="宋体"/>
          <w:b/>
          <w:color w:val="000000" w:themeColor="text1"/>
          <w:kern w:val="0"/>
          <w:sz w:val="32"/>
          <w:szCs w:val="23"/>
          <w14:textFill>
            <w14:solidFill>
              <w14:schemeClr w14:val="tx1"/>
            </w14:solidFill>
          </w14:textFill>
        </w:rPr>
        <w:t xml:space="preserve">第二十一条 </w:t>
      </w:r>
      <w:r>
        <w:rPr>
          <w:rFonts w:hint="eastAsia" w:ascii="仿宋_GB2312" w:hAnsi="Calibri" w:eastAsia="仿宋_GB2312" w:cs="Calibri"/>
          <w:color w:val="000000" w:themeColor="text1"/>
          <w:kern w:val="0"/>
          <w:sz w:val="32"/>
          <w:szCs w:val="23"/>
          <w14:textFill>
            <w14:solidFill>
              <w14:schemeClr w14:val="tx1"/>
            </w14:solidFill>
          </w14:textFill>
        </w:rPr>
        <w:t>复核时，重点企业研究院依托企业应向市科技主管部门提交复核报告及相关审计报告，复核报告应包括重点企业研究院的发展成果、研发创新进展和科技项目实施进展等方面的内容。</w:t>
      </w:r>
    </w:p>
    <w:p>
      <w:pPr>
        <w:adjustRightInd w:val="0"/>
        <w:snapToGrid w:val="0"/>
        <w:spacing w:line="560" w:lineRule="exact"/>
        <w:ind w:firstLine="643" w:firstLineChars="200"/>
        <w:jc w:val="left"/>
        <w:rPr>
          <w:rFonts w:ascii="仿宋_GB2312" w:hAnsi="Calibri" w:eastAsia="仿宋_GB2312" w:cs="Calibri"/>
          <w:color w:val="000000" w:themeColor="text1"/>
          <w:kern w:val="0"/>
          <w:sz w:val="32"/>
          <w:szCs w:val="23"/>
          <w14:textFill>
            <w14:solidFill>
              <w14:schemeClr w14:val="tx1"/>
            </w14:solidFill>
          </w14:textFill>
        </w:rPr>
      </w:pPr>
      <w:r>
        <w:rPr>
          <w:rFonts w:hint="eastAsia" w:ascii="仿宋_GB2312" w:hAnsi="仿宋_GB2312" w:eastAsia="仿宋_GB2312" w:cs="宋体"/>
          <w:b/>
          <w:color w:val="000000" w:themeColor="text1"/>
          <w:kern w:val="0"/>
          <w:sz w:val="32"/>
          <w:szCs w:val="23"/>
          <w14:textFill>
            <w14:solidFill>
              <w14:schemeClr w14:val="tx1"/>
            </w14:solidFill>
          </w14:textFill>
        </w:rPr>
        <w:t>第二十二条</w:t>
      </w:r>
      <w:r>
        <w:rPr>
          <w:rFonts w:hint="eastAsia" w:ascii="仿宋_GB2312" w:hAnsi="Calibri" w:eastAsia="仿宋_GB2312" w:cs="Calibri"/>
          <w:color w:val="000000" w:themeColor="text1"/>
          <w:kern w:val="0"/>
          <w:sz w:val="32"/>
          <w:szCs w:val="23"/>
          <w14:textFill>
            <w14:solidFill>
              <w14:schemeClr w14:val="tx1"/>
            </w14:solidFill>
          </w14:textFill>
        </w:rPr>
        <w:t xml:space="preserve"> 市科技主管部门按照优胜劣汰的原则，委托第三方机构依据《深圳市重点企业研究院复核评估指标体系》对重点企业研究院的研发条件、研发团队、研发成果、研发绩效等方面进行复核评估，并公布复核评估结果。</w:t>
      </w:r>
    </w:p>
    <w:p>
      <w:pPr>
        <w:adjustRightInd w:val="0"/>
        <w:snapToGrid w:val="0"/>
        <w:spacing w:line="560" w:lineRule="exact"/>
        <w:ind w:firstLine="640" w:firstLineChars="200"/>
        <w:jc w:val="left"/>
        <w:rPr>
          <w:rFonts w:ascii="仿宋_GB2312" w:hAnsi="Calibri" w:eastAsia="仿宋_GB2312" w:cs="Calibri"/>
          <w:color w:val="000000" w:themeColor="text1"/>
          <w:kern w:val="0"/>
          <w:sz w:val="32"/>
          <w:szCs w:val="23"/>
          <w14:textFill>
            <w14:solidFill>
              <w14:schemeClr w14:val="tx1"/>
            </w14:solidFill>
          </w14:textFill>
        </w:rPr>
      </w:pPr>
      <w:r>
        <w:rPr>
          <w:rFonts w:hint="eastAsia" w:ascii="仿宋_GB2312" w:hAnsi="Calibri" w:eastAsia="仿宋_GB2312" w:cs="Calibri"/>
          <w:color w:val="000000" w:themeColor="text1"/>
          <w:kern w:val="0"/>
          <w:sz w:val="32"/>
          <w:szCs w:val="23"/>
          <w14:textFill>
            <w14:solidFill>
              <w14:schemeClr w14:val="tx1"/>
            </w14:solidFill>
          </w14:textFill>
        </w:rPr>
        <w:t>（一）复核评估结果分为“优秀、合格、不合格”三个等级。</w:t>
      </w:r>
    </w:p>
    <w:p>
      <w:pPr>
        <w:adjustRightInd w:val="0"/>
        <w:snapToGrid w:val="0"/>
        <w:spacing w:line="560" w:lineRule="exact"/>
        <w:ind w:firstLine="640" w:firstLineChars="200"/>
        <w:jc w:val="left"/>
        <w:rPr>
          <w:rFonts w:ascii="仿宋_GB2312" w:hAnsi="Calibri" w:eastAsia="仿宋_GB2312" w:cs="Calibri"/>
          <w:color w:val="000000" w:themeColor="text1"/>
          <w:kern w:val="0"/>
          <w:sz w:val="32"/>
          <w:szCs w:val="23"/>
          <w14:textFill>
            <w14:solidFill>
              <w14:schemeClr w14:val="tx1"/>
            </w14:solidFill>
          </w14:textFill>
        </w:rPr>
      </w:pPr>
      <w:r>
        <w:rPr>
          <w:rFonts w:hint="eastAsia" w:ascii="仿宋_GB2312" w:hAnsi="Calibri" w:eastAsia="仿宋_GB2312" w:cs="Calibri"/>
          <w:color w:val="000000" w:themeColor="text1"/>
          <w:kern w:val="0"/>
          <w:sz w:val="32"/>
          <w:szCs w:val="23"/>
          <w14:textFill>
            <w14:solidFill>
              <w14:schemeClr w14:val="tx1"/>
            </w14:solidFill>
          </w14:textFill>
        </w:rPr>
        <w:t>（二）对复核评估结果为“不合格”的重点企业研究院，予以警告并责令整改，第二年申请复核。连续两次复核评估结果“不合格”的，取消重点企业研究院资格。</w:t>
      </w:r>
    </w:p>
    <w:p>
      <w:pPr>
        <w:adjustRightInd w:val="0"/>
        <w:snapToGrid w:val="0"/>
        <w:spacing w:line="560" w:lineRule="exact"/>
        <w:ind w:firstLine="640" w:firstLineChars="200"/>
        <w:jc w:val="left"/>
        <w:rPr>
          <w:rFonts w:ascii="仿宋_GB2312" w:hAnsi="Arial" w:eastAsia="仿宋_GB2312" w:cs="Arial"/>
          <w:color w:val="000000" w:themeColor="text1"/>
          <w:kern w:val="0"/>
          <w:sz w:val="32"/>
          <w:szCs w:val="32"/>
          <w14:textFill>
            <w14:solidFill>
              <w14:schemeClr w14:val="tx1"/>
            </w14:solidFill>
          </w14:textFill>
        </w:rPr>
      </w:pPr>
      <w:r>
        <w:rPr>
          <w:rFonts w:hint="eastAsia" w:ascii="仿宋_GB2312" w:hAnsi="Arial" w:eastAsia="仿宋_GB2312" w:cs="Arial"/>
          <w:color w:val="000000" w:themeColor="text1"/>
          <w:kern w:val="0"/>
          <w:sz w:val="32"/>
          <w:szCs w:val="32"/>
          <w14:textFill>
            <w14:solidFill>
              <w14:schemeClr w14:val="tx1"/>
            </w14:solidFill>
          </w14:textFill>
        </w:rPr>
        <w:t>（三）对复核评估结果为“合格”的重点企业研究院，予以</w:t>
      </w:r>
      <w:r>
        <w:rPr>
          <w:rFonts w:ascii="仿宋_GB2312" w:hAnsi="Arial" w:eastAsia="仿宋_GB2312" w:cs="Arial"/>
          <w:color w:val="000000" w:themeColor="text1"/>
          <w:kern w:val="0"/>
          <w:sz w:val="32"/>
          <w:szCs w:val="32"/>
          <w14:textFill>
            <w14:solidFill>
              <w14:schemeClr w14:val="tx1"/>
            </w14:solidFill>
          </w14:textFill>
        </w:rPr>
        <w:t>3</w:t>
      </w:r>
      <w:r>
        <w:rPr>
          <w:rFonts w:hint="eastAsia" w:ascii="仿宋_GB2312" w:hAnsi="Arial" w:eastAsia="仿宋_GB2312" w:cs="Arial"/>
          <w:color w:val="000000" w:themeColor="text1"/>
          <w:kern w:val="0"/>
          <w:sz w:val="32"/>
          <w:szCs w:val="32"/>
          <w14:textFill>
            <w14:solidFill>
              <w14:schemeClr w14:val="tx1"/>
            </w14:solidFill>
          </w14:textFill>
        </w:rPr>
        <w:t>00万研发资助。</w:t>
      </w:r>
    </w:p>
    <w:p>
      <w:pPr>
        <w:adjustRightInd w:val="0"/>
        <w:snapToGrid w:val="0"/>
        <w:spacing w:line="560" w:lineRule="exact"/>
        <w:ind w:firstLine="640" w:firstLineChars="200"/>
        <w:jc w:val="left"/>
        <w:rPr>
          <w:rFonts w:ascii="仿宋_GB2312" w:hAnsi="Arial" w:eastAsia="仿宋_GB2312" w:cs="Arial"/>
          <w:color w:val="000000" w:themeColor="text1"/>
          <w:kern w:val="0"/>
          <w:sz w:val="32"/>
          <w:szCs w:val="32"/>
          <w14:textFill>
            <w14:solidFill>
              <w14:schemeClr w14:val="tx1"/>
            </w14:solidFill>
          </w14:textFill>
        </w:rPr>
      </w:pPr>
      <w:r>
        <w:rPr>
          <w:rFonts w:hint="eastAsia" w:ascii="仿宋_GB2312" w:hAnsi="Arial" w:eastAsia="仿宋_GB2312" w:cs="Arial"/>
          <w:color w:val="000000" w:themeColor="text1"/>
          <w:kern w:val="0"/>
          <w:sz w:val="32"/>
          <w:szCs w:val="32"/>
          <w14:textFill>
            <w14:solidFill>
              <w14:schemeClr w14:val="tx1"/>
            </w14:solidFill>
          </w14:textFill>
        </w:rPr>
        <w:t>（四）对复核评估结果为“优秀”的重点企业研究院，予以</w:t>
      </w:r>
      <w:r>
        <w:rPr>
          <w:rFonts w:ascii="仿宋_GB2312" w:hAnsi="Arial" w:eastAsia="仿宋_GB2312" w:cs="Arial"/>
          <w:color w:val="000000" w:themeColor="text1"/>
          <w:kern w:val="0"/>
          <w:sz w:val="32"/>
          <w:szCs w:val="32"/>
          <w14:textFill>
            <w14:solidFill>
              <w14:schemeClr w14:val="tx1"/>
            </w14:solidFill>
          </w14:textFill>
        </w:rPr>
        <w:t>5</w:t>
      </w:r>
      <w:r>
        <w:rPr>
          <w:rFonts w:hint="eastAsia" w:ascii="仿宋_GB2312" w:hAnsi="Arial" w:eastAsia="仿宋_GB2312" w:cs="Arial"/>
          <w:color w:val="000000" w:themeColor="text1"/>
          <w:kern w:val="0"/>
          <w:sz w:val="32"/>
          <w:szCs w:val="32"/>
          <w14:textFill>
            <w14:solidFill>
              <w14:schemeClr w14:val="tx1"/>
            </w14:solidFill>
          </w14:textFill>
        </w:rPr>
        <w:t>00万研发资助。</w:t>
      </w:r>
    </w:p>
    <w:p>
      <w:pPr>
        <w:adjustRightInd w:val="0"/>
        <w:snapToGrid w:val="0"/>
        <w:spacing w:line="560" w:lineRule="exact"/>
        <w:ind w:firstLine="643" w:firstLineChars="200"/>
        <w:jc w:val="left"/>
        <w:rPr>
          <w:rFonts w:ascii="仿宋_GB2312" w:hAnsi="Calibri" w:eastAsia="仿宋_GB2312" w:cs="Calibri"/>
          <w:color w:val="000000" w:themeColor="text1"/>
          <w:kern w:val="0"/>
          <w:sz w:val="32"/>
          <w:szCs w:val="23"/>
          <w14:textFill>
            <w14:solidFill>
              <w14:schemeClr w14:val="tx1"/>
            </w14:solidFill>
          </w14:textFill>
        </w:rPr>
      </w:pPr>
      <w:r>
        <w:rPr>
          <w:rFonts w:hint="eastAsia" w:ascii="仿宋_GB2312" w:hAnsi="仿宋_GB2312" w:eastAsia="仿宋_GB2312" w:cs="宋体"/>
          <w:b/>
          <w:color w:val="000000" w:themeColor="text1"/>
          <w:kern w:val="0"/>
          <w:sz w:val="32"/>
          <w:szCs w:val="23"/>
          <w14:textFill>
            <w14:solidFill>
              <w14:schemeClr w14:val="tx1"/>
            </w14:solidFill>
          </w14:textFill>
        </w:rPr>
        <w:t>第二十三条</w:t>
      </w:r>
      <w:r>
        <w:rPr>
          <w:rFonts w:hint="eastAsia" w:ascii="仿宋_GB2312" w:hAnsi="Calibri" w:eastAsia="仿宋_GB2312" w:cs="Calibri"/>
          <w:color w:val="000000" w:themeColor="text1"/>
          <w:kern w:val="0"/>
          <w:sz w:val="32"/>
          <w:szCs w:val="23"/>
          <w14:textFill>
            <w14:solidFill>
              <w14:schemeClr w14:val="tx1"/>
            </w14:solidFill>
          </w14:textFill>
        </w:rPr>
        <w:t xml:space="preserve"> 被取消重点企业研究院资格的依托企业不得再申报重点企业研究院。</w:t>
      </w:r>
    </w:p>
    <w:p>
      <w:pPr>
        <w:adjustRightInd w:val="0"/>
        <w:snapToGrid w:val="0"/>
        <w:spacing w:line="560" w:lineRule="exact"/>
        <w:ind w:firstLine="643" w:firstLineChars="200"/>
        <w:jc w:val="left"/>
        <w:rPr>
          <w:rFonts w:ascii="仿宋_GB2312" w:hAnsi="Calibri" w:eastAsia="仿宋_GB2312" w:cs="Calibri"/>
          <w:color w:val="000000" w:themeColor="text1"/>
          <w:kern w:val="0"/>
          <w:sz w:val="32"/>
          <w:szCs w:val="23"/>
          <w14:textFill>
            <w14:solidFill>
              <w14:schemeClr w14:val="tx1"/>
            </w14:solidFill>
          </w14:textFill>
        </w:rPr>
      </w:pPr>
      <w:r>
        <w:rPr>
          <w:rFonts w:hint="eastAsia" w:ascii="仿宋_GB2312" w:hAnsi="仿宋_GB2312" w:eastAsia="仿宋_GB2312" w:cs="宋体"/>
          <w:b/>
          <w:color w:val="000000" w:themeColor="text1"/>
          <w:kern w:val="0"/>
          <w:sz w:val="32"/>
          <w:szCs w:val="23"/>
          <w14:textFill>
            <w14:solidFill>
              <w14:schemeClr w14:val="tx1"/>
            </w14:solidFill>
          </w14:textFill>
        </w:rPr>
        <w:t xml:space="preserve">第二十四条 </w:t>
      </w:r>
      <w:r>
        <w:rPr>
          <w:rFonts w:hint="eastAsia" w:ascii="仿宋_GB2312" w:hAnsi="Calibri" w:eastAsia="仿宋_GB2312" w:cs="Calibri"/>
          <w:color w:val="000000" w:themeColor="text1"/>
          <w:kern w:val="0"/>
          <w:sz w:val="32"/>
          <w:szCs w:val="23"/>
          <w14:textFill>
            <w14:solidFill>
              <w14:schemeClr w14:val="tx1"/>
            </w14:solidFill>
          </w14:textFill>
        </w:rPr>
        <w:t>对获得重点企业研究院资格的依托企业，优先支持其承担国家、省重大科技计划，优先支持其创建国家级、省级创新载体。</w:t>
      </w:r>
    </w:p>
    <w:p>
      <w:pPr>
        <w:widowControl/>
        <w:shd w:val="clear" w:color="auto" w:fill="FFFFFF"/>
        <w:adjustRightInd w:val="0"/>
        <w:snapToGrid w:val="0"/>
        <w:spacing w:line="560" w:lineRule="exact"/>
        <w:jc w:val="center"/>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第五章 附则</w:t>
      </w:r>
    </w:p>
    <w:p>
      <w:pPr>
        <w:adjustRightInd w:val="0"/>
        <w:snapToGrid w:val="0"/>
        <w:spacing w:line="560" w:lineRule="exact"/>
        <w:ind w:firstLine="643" w:firstLineChars="200"/>
        <w:jc w:val="left"/>
        <w:rPr>
          <w:rFonts w:ascii="仿宋_GB2312" w:hAnsi="Calibri" w:eastAsia="仿宋_GB2312" w:cs="Calibri"/>
          <w:color w:val="000000" w:themeColor="text1"/>
          <w:kern w:val="0"/>
          <w:sz w:val="32"/>
          <w:szCs w:val="23"/>
          <w14:textFill>
            <w14:solidFill>
              <w14:schemeClr w14:val="tx1"/>
            </w14:solidFill>
          </w14:textFill>
        </w:rPr>
      </w:pPr>
      <w:r>
        <w:rPr>
          <w:rFonts w:hint="eastAsia" w:ascii="仿宋_GB2312" w:hAnsi="仿宋_GB2312" w:eastAsia="仿宋_GB2312" w:cs="宋体"/>
          <w:b/>
          <w:color w:val="000000" w:themeColor="text1"/>
          <w:kern w:val="0"/>
          <w:sz w:val="32"/>
          <w:szCs w:val="23"/>
          <w14:textFill>
            <w14:solidFill>
              <w14:schemeClr w14:val="tx1"/>
            </w14:solidFill>
          </w14:textFill>
        </w:rPr>
        <w:t xml:space="preserve">第二十五条 </w:t>
      </w:r>
      <w:r>
        <w:rPr>
          <w:rFonts w:hint="eastAsia" w:ascii="仿宋_GB2312" w:hAnsi="Calibri" w:eastAsia="仿宋_GB2312" w:cs="Calibri"/>
          <w:color w:val="000000" w:themeColor="text1"/>
          <w:kern w:val="0"/>
          <w:sz w:val="32"/>
          <w:szCs w:val="23"/>
          <w14:textFill>
            <w14:solidFill>
              <w14:schemeClr w14:val="tx1"/>
            </w14:solidFill>
          </w14:textFill>
        </w:rPr>
        <w:t>重点企业研究院统一命名为“深圳市×××重点企业研究院”，英文名称为“Shenzhen Key Institute of ×××”。</w:t>
      </w:r>
    </w:p>
    <w:p>
      <w:pPr>
        <w:adjustRightInd w:val="0"/>
        <w:snapToGrid w:val="0"/>
        <w:spacing w:line="560" w:lineRule="exact"/>
        <w:ind w:firstLine="643" w:firstLineChars="200"/>
        <w:jc w:val="left"/>
        <w:rPr>
          <w:rFonts w:ascii="仿宋_GB2312" w:hAnsi="Calibri" w:eastAsia="仿宋_GB2312" w:cs="Calibri"/>
          <w:color w:val="000000" w:themeColor="text1"/>
          <w:kern w:val="0"/>
          <w:sz w:val="32"/>
          <w:szCs w:val="23"/>
          <w14:textFill>
            <w14:solidFill>
              <w14:schemeClr w14:val="tx1"/>
            </w14:solidFill>
          </w14:textFill>
        </w:rPr>
      </w:pPr>
      <w:r>
        <w:rPr>
          <w:rFonts w:hint="eastAsia" w:ascii="仿宋_GB2312" w:hAnsi="仿宋_GB2312" w:eastAsia="仿宋_GB2312" w:cs="宋体"/>
          <w:b/>
          <w:color w:val="000000" w:themeColor="text1"/>
          <w:kern w:val="0"/>
          <w:sz w:val="32"/>
          <w:szCs w:val="23"/>
          <w14:textFill>
            <w14:solidFill>
              <w14:schemeClr w14:val="tx1"/>
            </w14:solidFill>
          </w14:textFill>
        </w:rPr>
        <w:t>第二十六条</w:t>
      </w:r>
      <w:r>
        <w:rPr>
          <w:rFonts w:hint="eastAsia" w:ascii="仿宋_GB2312" w:hAnsi="Calibri" w:eastAsia="仿宋_GB2312" w:cs="Calibri"/>
          <w:color w:val="000000" w:themeColor="text1"/>
          <w:kern w:val="0"/>
          <w:sz w:val="32"/>
          <w:szCs w:val="23"/>
          <w14:textFill>
            <w14:solidFill>
              <w14:schemeClr w14:val="tx1"/>
            </w14:solidFill>
          </w14:textFill>
        </w:rPr>
        <w:t xml:space="preserve"> 本办法由市科技主管部门负责解释。</w:t>
      </w:r>
    </w:p>
    <w:p>
      <w:pPr>
        <w:adjustRightInd w:val="0"/>
        <w:snapToGrid w:val="0"/>
        <w:spacing w:line="560" w:lineRule="exact"/>
        <w:ind w:firstLine="643" w:firstLineChars="200"/>
        <w:jc w:val="left"/>
        <w:rPr>
          <w:rFonts w:ascii="仿宋_GB2312" w:hAnsi="Calibri" w:eastAsia="仿宋_GB2312" w:cs="Calibri"/>
          <w:color w:val="000000" w:themeColor="text1"/>
          <w:kern w:val="0"/>
          <w:sz w:val="32"/>
          <w:szCs w:val="23"/>
          <w14:textFill>
            <w14:solidFill>
              <w14:schemeClr w14:val="tx1"/>
            </w14:solidFill>
          </w14:textFill>
        </w:rPr>
      </w:pPr>
      <w:r>
        <w:rPr>
          <w:rFonts w:hint="eastAsia" w:ascii="仿宋_GB2312" w:hAnsi="仿宋_GB2312" w:eastAsia="仿宋_GB2312" w:cs="宋体"/>
          <w:b/>
          <w:color w:val="000000" w:themeColor="text1"/>
          <w:kern w:val="0"/>
          <w:sz w:val="32"/>
          <w:szCs w:val="23"/>
          <w14:textFill>
            <w14:solidFill>
              <w14:schemeClr w14:val="tx1"/>
            </w14:solidFill>
          </w14:textFill>
        </w:rPr>
        <w:t>第二十七条</w:t>
      </w:r>
      <w:r>
        <w:rPr>
          <w:rFonts w:hint="eastAsia" w:ascii="仿宋_GB2312" w:hAnsi="Calibri" w:eastAsia="仿宋_GB2312" w:cs="Calibri"/>
          <w:color w:val="000000" w:themeColor="text1"/>
          <w:kern w:val="0"/>
          <w:sz w:val="32"/>
          <w:szCs w:val="23"/>
          <w14:textFill>
            <w14:solidFill>
              <w14:schemeClr w14:val="tx1"/>
            </w14:solidFill>
          </w14:textFill>
        </w:rPr>
        <w:t xml:space="preserve"> 本办法自颁布之日起施行，有效期为五年。</w:t>
      </w:r>
    </w:p>
    <w:p>
      <w:pPr>
        <w:adjustRightInd w:val="0"/>
        <w:snapToGrid w:val="0"/>
        <w:spacing w:line="560" w:lineRule="exact"/>
        <w:ind w:firstLine="640" w:firstLineChars="200"/>
        <w:jc w:val="left"/>
        <w:rPr>
          <w:rFonts w:ascii="仿宋_GB2312" w:hAnsi="Calibri" w:eastAsia="仿宋_GB2312" w:cs="Calibri"/>
          <w:color w:val="000000" w:themeColor="text1"/>
          <w:kern w:val="0"/>
          <w:sz w:val="32"/>
          <w:szCs w:val="23"/>
          <w14:textFill>
            <w14:solidFill>
              <w14:schemeClr w14:val="tx1"/>
            </w14:solidFill>
          </w14:textFill>
        </w:rPr>
      </w:pPr>
    </w:p>
    <w:p>
      <w:pPr>
        <w:adjustRightInd w:val="0"/>
        <w:snapToGrid w:val="0"/>
        <w:spacing w:line="560" w:lineRule="exact"/>
        <w:ind w:firstLine="640" w:firstLineChars="200"/>
        <w:jc w:val="left"/>
        <w:rPr>
          <w:rFonts w:ascii="仿宋_GB2312" w:hAnsi="Calibri" w:eastAsia="仿宋_GB2312" w:cs="Calibri"/>
          <w:color w:val="000000" w:themeColor="text1"/>
          <w:kern w:val="0"/>
          <w:sz w:val="32"/>
          <w:szCs w:val="23"/>
          <w14:textFill>
            <w14:solidFill>
              <w14:schemeClr w14:val="tx1"/>
            </w14:solidFill>
          </w14:textFill>
        </w:rPr>
      </w:pPr>
    </w:p>
    <w:p>
      <w:pPr>
        <w:adjustRightInd w:val="0"/>
        <w:snapToGrid w:val="0"/>
        <w:spacing w:line="560" w:lineRule="exact"/>
        <w:ind w:firstLine="640" w:firstLineChars="200"/>
        <w:jc w:val="left"/>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Calibri" w:eastAsia="仿宋_GB2312" w:cs="Calibri"/>
          <w:color w:val="000000" w:themeColor="text1"/>
          <w:kern w:val="0"/>
          <w:sz w:val="32"/>
          <w:szCs w:val="23"/>
          <w14:textFill>
            <w14:solidFill>
              <w14:schemeClr w14:val="tx1"/>
            </w14:solidFill>
          </w14:textFill>
        </w:rPr>
        <w:t>附件：1.</w:t>
      </w:r>
      <w:r>
        <w:rPr>
          <w:rFonts w:hint="eastAsia" w:ascii="仿宋_GB2312" w:hAnsi="仿宋_GB2312" w:eastAsia="仿宋_GB2312" w:cs="宋体"/>
          <w:color w:val="000000" w:themeColor="text1"/>
          <w:kern w:val="0"/>
          <w:sz w:val="32"/>
          <w:szCs w:val="23"/>
          <w14:textFill>
            <w14:solidFill>
              <w14:schemeClr w14:val="tx1"/>
            </w14:solidFill>
          </w14:textFill>
        </w:rPr>
        <w:t xml:space="preserve"> 深圳市重点企业研究院支持项目申请书</w:t>
      </w:r>
    </w:p>
    <w:p>
      <w:pPr>
        <w:adjustRightInd w:val="0"/>
        <w:snapToGrid w:val="0"/>
        <w:spacing w:line="560" w:lineRule="exact"/>
        <w:ind w:firstLine="640" w:firstLineChars="200"/>
        <w:jc w:val="left"/>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 xml:space="preserve">      2. 深圳市重点企业研究院建设成果报告</w:t>
      </w:r>
    </w:p>
    <w:p>
      <w:pPr>
        <w:adjustRightInd w:val="0"/>
        <w:snapToGrid w:val="0"/>
        <w:spacing w:line="560" w:lineRule="exact"/>
        <w:ind w:firstLine="640" w:firstLineChars="200"/>
        <w:jc w:val="left"/>
        <w:rPr>
          <w:rFonts w:ascii="仿宋_GB2312" w:hAnsi="Calibri" w:eastAsia="仿宋_GB2312" w:cs="Calibri"/>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 xml:space="preserve">    </w:t>
      </w:r>
    </w:p>
    <w:p>
      <w:pPr>
        <w:widowControl/>
        <w:jc w:val="left"/>
        <w:rPr>
          <w:rFonts w:ascii="仿宋_GB2312" w:hAnsi="Calibri" w:eastAsia="仿宋_GB2312" w:cs="Calibri"/>
          <w:b/>
          <w:color w:val="000000" w:themeColor="text1"/>
          <w:kern w:val="0"/>
          <w:sz w:val="32"/>
          <w:szCs w:val="23"/>
          <w14:textFill>
            <w14:solidFill>
              <w14:schemeClr w14:val="tx1"/>
            </w14:solidFill>
          </w14:textFill>
        </w:rPr>
      </w:pPr>
      <w:r>
        <w:rPr>
          <w:rFonts w:ascii="仿宋_GB2312" w:hAnsi="Calibri" w:eastAsia="仿宋_GB2312" w:cs="Calibri"/>
          <w:b/>
          <w:color w:val="000000" w:themeColor="text1"/>
          <w:kern w:val="0"/>
          <w:sz w:val="32"/>
          <w:szCs w:val="23"/>
          <w14:textFill>
            <w14:solidFill>
              <w14:schemeClr w14:val="tx1"/>
            </w14:solidFill>
          </w14:textFill>
        </w:rPr>
        <w:br w:type="page"/>
      </w:r>
    </w:p>
    <w:p>
      <w:pPr>
        <w:adjustRightInd w:val="0"/>
        <w:snapToGrid w:val="0"/>
        <w:spacing w:line="560" w:lineRule="exact"/>
        <w:ind w:firstLine="643"/>
        <w:jc w:val="left"/>
        <w:rPr>
          <w:rFonts w:ascii="仿宋_GB2312" w:hAnsi="Calibri" w:eastAsia="仿宋_GB2312" w:cs="Calibri"/>
          <w:b/>
          <w:color w:val="000000" w:themeColor="text1"/>
          <w:kern w:val="0"/>
          <w:sz w:val="32"/>
          <w:szCs w:val="23"/>
          <w14:textFill>
            <w14:solidFill>
              <w14:schemeClr w14:val="tx1"/>
            </w14:solidFill>
          </w14:textFill>
        </w:rPr>
      </w:pPr>
      <w:r>
        <w:rPr>
          <w:rFonts w:hint="eastAsia" w:ascii="仿宋_GB2312" w:hAnsi="Calibri" w:eastAsia="仿宋_GB2312" w:cs="Calibri"/>
          <w:b/>
          <w:color w:val="000000" w:themeColor="text1"/>
          <w:kern w:val="0"/>
          <w:sz w:val="32"/>
          <w:szCs w:val="23"/>
          <w14:textFill>
            <w14:solidFill>
              <w14:schemeClr w14:val="tx1"/>
            </w14:solidFill>
          </w14:textFill>
        </w:rPr>
        <w:t>附件1</w:t>
      </w:r>
    </w:p>
    <w:p>
      <w:pPr>
        <w:adjustRightInd w:val="0"/>
        <w:snapToGrid w:val="0"/>
        <w:spacing w:line="560" w:lineRule="exact"/>
        <w:ind w:firstLine="640" w:firstLineChars="200"/>
        <w:jc w:val="left"/>
        <w:rPr>
          <w:rFonts w:ascii="仿宋_GB2312" w:hAnsi="Calibri" w:eastAsia="仿宋_GB2312" w:cs="Calibri"/>
          <w:color w:val="000000" w:themeColor="text1"/>
          <w:kern w:val="0"/>
          <w:sz w:val="32"/>
          <w:szCs w:val="23"/>
          <w14:textFill>
            <w14:solidFill>
              <w14:schemeClr w14:val="tx1"/>
            </w14:solidFill>
          </w14:textFill>
        </w:rPr>
      </w:pPr>
    </w:p>
    <w:p>
      <w:pPr>
        <w:adjustRightInd w:val="0"/>
        <w:snapToGrid w:val="0"/>
        <w:spacing w:line="560" w:lineRule="exact"/>
        <w:jc w:val="center"/>
        <w:rPr>
          <w:rFonts w:ascii="方正小标宋简体" w:hAnsi="仿宋_GB2312" w:eastAsia="方正小标宋简体" w:cs="宋体"/>
          <w:color w:val="000000" w:themeColor="text1"/>
          <w:kern w:val="0"/>
          <w:sz w:val="44"/>
          <w:szCs w:val="44"/>
          <w14:textFill>
            <w14:solidFill>
              <w14:schemeClr w14:val="tx1"/>
            </w14:solidFill>
          </w14:textFill>
        </w:rPr>
      </w:pPr>
      <w:r>
        <w:rPr>
          <w:rFonts w:hint="eastAsia" w:ascii="方正小标宋简体" w:hAnsi="仿宋_GB2312" w:eastAsia="方正小标宋简体" w:cs="宋体"/>
          <w:color w:val="000000" w:themeColor="text1"/>
          <w:kern w:val="0"/>
          <w:sz w:val="44"/>
          <w:szCs w:val="44"/>
          <w14:textFill>
            <w14:solidFill>
              <w14:schemeClr w14:val="tx1"/>
            </w14:solidFill>
          </w14:textFill>
        </w:rPr>
        <w:t>深圳市重点企业研究院支持项目申请书</w:t>
      </w:r>
    </w:p>
    <w:p>
      <w:pPr>
        <w:adjustRightInd w:val="0"/>
        <w:snapToGrid w:val="0"/>
        <w:spacing w:line="560" w:lineRule="exact"/>
        <w:ind w:firstLine="880" w:firstLineChars="200"/>
        <w:jc w:val="center"/>
        <w:rPr>
          <w:rFonts w:ascii="仿宋_GB2312" w:hAnsi="仿宋_GB2312" w:eastAsia="仿宋_GB2312" w:cs="宋体"/>
          <w:color w:val="000000" w:themeColor="text1"/>
          <w:kern w:val="0"/>
          <w:sz w:val="32"/>
          <w:szCs w:val="23"/>
          <w14:textFill>
            <w14:solidFill>
              <w14:schemeClr w14:val="tx1"/>
            </w14:solidFill>
          </w14:textFill>
        </w:rPr>
      </w:pPr>
      <w:r>
        <w:rPr>
          <w:rFonts w:hint="eastAsia" w:ascii="方正小标宋简体" w:hAnsi="仿宋_GB2312" w:eastAsia="方正小标宋简体" w:cs="宋体"/>
          <w:color w:val="000000" w:themeColor="text1"/>
          <w:kern w:val="0"/>
          <w:sz w:val="44"/>
          <w:szCs w:val="44"/>
          <w14:textFill>
            <w14:solidFill>
              <w14:schemeClr w14:val="tx1"/>
            </w14:solidFill>
          </w14:textFill>
        </w:rPr>
        <w:t>编写提纲</w:t>
      </w:r>
    </w:p>
    <w:p>
      <w:pPr>
        <w:adjustRightInd w:val="0"/>
        <w:snapToGrid w:val="0"/>
        <w:spacing w:line="560" w:lineRule="exact"/>
        <w:ind w:firstLine="640" w:firstLineChars="200"/>
        <w:jc w:val="left"/>
        <w:rPr>
          <w:rFonts w:ascii="仿宋_GB2312" w:hAnsi="仿宋_GB2312" w:eastAsia="仿宋_GB2312" w:cs="宋体"/>
          <w:color w:val="000000" w:themeColor="text1"/>
          <w:kern w:val="0"/>
          <w:sz w:val="32"/>
          <w:szCs w:val="23"/>
          <w14:textFill>
            <w14:solidFill>
              <w14:schemeClr w14:val="tx1"/>
            </w14:solidFill>
          </w14:textFill>
        </w:rPr>
      </w:pPr>
    </w:p>
    <w:p>
      <w:pPr>
        <w:pStyle w:val="8"/>
        <w:numPr>
          <w:ilvl w:val="2"/>
          <w:numId w:val="1"/>
        </w:numPr>
        <w:adjustRightInd w:val="0"/>
        <w:snapToGrid w:val="0"/>
        <w:spacing w:line="560" w:lineRule="exact"/>
        <w:ind w:left="0" w:firstLine="640"/>
        <w:jc w:val="left"/>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依托企业基本情况</w:t>
      </w:r>
    </w:p>
    <w:p>
      <w:pPr>
        <w:pStyle w:val="8"/>
        <w:numPr>
          <w:ilvl w:val="2"/>
          <w:numId w:val="1"/>
        </w:numPr>
        <w:adjustRightInd w:val="0"/>
        <w:snapToGrid w:val="0"/>
        <w:spacing w:line="560" w:lineRule="exact"/>
        <w:ind w:left="0" w:firstLine="64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依托企业财务情况</w:t>
      </w:r>
    </w:p>
    <w:p>
      <w:pPr>
        <w:pStyle w:val="8"/>
        <w:numPr>
          <w:ilvl w:val="2"/>
          <w:numId w:val="1"/>
        </w:numPr>
        <w:adjustRightInd w:val="0"/>
        <w:snapToGrid w:val="0"/>
        <w:spacing w:line="560" w:lineRule="exact"/>
        <w:ind w:left="0" w:firstLine="64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依托企业科研活动情况</w:t>
      </w:r>
    </w:p>
    <w:p>
      <w:pPr>
        <w:pStyle w:val="8"/>
        <w:numPr>
          <w:ilvl w:val="2"/>
          <w:numId w:val="1"/>
        </w:numPr>
        <w:adjustRightInd w:val="0"/>
        <w:snapToGrid w:val="0"/>
        <w:spacing w:line="560" w:lineRule="exact"/>
        <w:ind w:left="0" w:firstLine="64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重点企业研究院（人员）情况</w:t>
      </w:r>
    </w:p>
    <w:p>
      <w:pPr>
        <w:pStyle w:val="8"/>
        <w:numPr>
          <w:ilvl w:val="2"/>
          <w:numId w:val="1"/>
        </w:numPr>
        <w:adjustRightInd w:val="0"/>
        <w:snapToGrid w:val="0"/>
        <w:spacing w:line="560" w:lineRule="exact"/>
        <w:ind w:left="0" w:firstLine="64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重点企业研究院建设的背景和意义</w:t>
      </w:r>
    </w:p>
    <w:p>
      <w:pPr>
        <w:pStyle w:val="8"/>
        <w:numPr>
          <w:ilvl w:val="2"/>
          <w:numId w:val="1"/>
        </w:numPr>
        <w:adjustRightInd w:val="0"/>
        <w:snapToGrid w:val="0"/>
        <w:spacing w:line="560" w:lineRule="exact"/>
        <w:ind w:left="0" w:firstLine="64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技术发展趋势及国内外发展现状</w:t>
      </w:r>
    </w:p>
    <w:p>
      <w:pPr>
        <w:pStyle w:val="8"/>
        <w:numPr>
          <w:ilvl w:val="2"/>
          <w:numId w:val="1"/>
        </w:numPr>
        <w:adjustRightInd w:val="0"/>
        <w:snapToGrid w:val="0"/>
        <w:spacing w:line="560" w:lineRule="exact"/>
        <w:ind w:left="0" w:firstLine="64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重点企业研究院的规划与布局</w:t>
      </w:r>
    </w:p>
    <w:p>
      <w:pPr>
        <w:pStyle w:val="8"/>
        <w:numPr>
          <w:ilvl w:val="2"/>
          <w:numId w:val="1"/>
        </w:numPr>
        <w:adjustRightInd w:val="0"/>
        <w:snapToGrid w:val="0"/>
        <w:spacing w:line="560" w:lineRule="exact"/>
        <w:ind w:left="0" w:firstLine="64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重点企业研究院建设目标</w:t>
      </w:r>
    </w:p>
    <w:p>
      <w:pPr>
        <w:pStyle w:val="8"/>
        <w:numPr>
          <w:ilvl w:val="2"/>
          <w:numId w:val="1"/>
        </w:numPr>
        <w:adjustRightInd w:val="0"/>
        <w:snapToGrid w:val="0"/>
        <w:spacing w:line="560" w:lineRule="exact"/>
        <w:ind w:left="0" w:firstLine="64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依托单位现有工作基础和条件</w:t>
      </w:r>
    </w:p>
    <w:p>
      <w:pPr>
        <w:pStyle w:val="8"/>
        <w:numPr>
          <w:ilvl w:val="2"/>
          <w:numId w:val="1"/>
        </w:numPr>
        <w:adjustRightInd w:val="0"/>
        <w:snapToGrid w:val="0"/>
        <w:spacing w:line="560" w:lineRule="exact"/>
        <w:ind w:left="0" w:firstLine="64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重点企业研究院研发团队</w:t>
      </w:r>
    </w:p>
    <w:p>
      <w:pPr>
        <w:pStyle w:val="8"/>
        <w:numPr>
          <w:ilvl w:val="2"/>
          <w:numId w:val="1"/>
        </w:numPr>
        <w:adjustRightInd w:val="0"/>
        <w:snapToGrid w:val="0"/>
        <w:spacing w:line="560" w:lineRule="exact"/>
        <w:ind w:left="0" w:firstLine="64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重点企业研究院建设完成情况</w:t>
      </w:r>
    </w:p>
    <w:p>
      <w:pPr>
        <w:pStyle w:val="8"/>
        <w:numPr>
          <w:ilvl w:val="2"/>
          <w:numId w:val="1"/>
        </w:numPr>
        <w:adjustRightInd w:val="0"/>
        <w:snapToGrid w:val="0"/>
        <w:spacing w:line="560" w:lineRule="exact"/>
        <w:ind w:left="0" w:firstLine="64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重点企业研究院建设经费使用情况</w:t>
      </w:r>
    </w:p>
    <w:p>
      <w:pPr>
        <w:pStyle w:val="8"/>
        <w:numPr>
          <w:ilvl w:val="2"/>
          <w:numId w:val="1"/>
        </w:numPr>
        <w:adjustRightInd w:val="0"/>
        <w:snapToGrid w:val="0"/>
        <w:spacing w:line="560" w:lineRule="exact"/>
        <w:ind w:left="0" w:firstLine="64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本申请所附材料清单</w:t>
      </w:r>
    </w:p>
    <w:p>
      <w:pPr>
        <w:pStyle w:val="8"/>
        <w:numPr>
          <w:ilvl w:val="2"/>
          <w:numId w:val="1"/>
        </w:numPr>
        <w:adjustRightInd w:val="0"/>
        <w:snapToGrid w:val="0"/>
        <w:spacing w:line="560" w:lineRule="exact"/>
        <w:ind w:left="0" w:firstLine="64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依托企业所附材料清单</w:t>
      </w:r>
    </w:p>
    <w:p>
      <w:pPr>
        <w:adjustRightInd w:val="0"/>
        <w:snapToGrid w:val="0"/>
        <w:spacing w:line="560" w:lineRule="exact"/>
        <w:ind w:firstLine="640"/>
        <w:rPr>
          <w:rFonts w:ascii="仿宋_GB2312" w:hAnsi="仿宋_GB2312" w:eastAsia="仿宋_GB2312" w:cs="宋体"/>
          <w:color w:val="000000" w:themeColor="text1"/>
          <w:kern w:val="0"/>
          <w:sz w:val="32"/>
          <w:szCs w:val="23"/>
          <w14:textFill>
            <w14:solidFill>
              <w14:schemeClr w14:val="tx1"/>
            </w14:solidFill>
          </w14:textFill>
        </w:rPr>
      </w:pPr>
    </w:p>
    <w:p>
      <w:pPr>
        <w:widowControl/>
        <w:jc w:val="left"/>
        <w:rPr>
          <w:rFonts w:ascii="仿宋_GB2312" w:hAnsi="Calibri" w:eastAsia="仿宋_GB2312" w:cs="Calibri"/>
          <w:b/>
          <w:color w:val="000000" w:themeColor="text1"/>
          <w:kern w:val="0"/>
          <w:sz w:val="32"/>
          <w:szCs w:val="23"/>
          <w14:textFill>
            <w14:solidFill>
              <w14:schemeClr w14:val="tx1"/>
            </w14:solidFill>
          </w14:textFill>
        </w:rPr>
      </w:pPr>
      <w:r>
        <w:rPr>
          <w:rFonts w:ascii="仿宋_GB2312" w:hAnsi="Calibri" w:eastAsia="仿宋_GB2312" w:cs="Calibri"/>
          <w:b/>
          <w:color w:val="000000" w:themeColor="text1"/>
          <w:kern w:val="0"/>
          <w:sz w:val="32"/>
          <w:szCs w:val="23"/>
          <w14:textFill>
            <w14:solidFill>
              <w14:schemeClr w14:val="tx1"/>
            </w14:solidFill>
          </w14:textFill>
        </w:rPr>
        <w:br w:type="page"/>
      </w:r>
    </w:p>
    <w:p>
      <w:pPr>
        <w:adjustRightInd w:val="0"/>
        <w:snapToGrid w:val="0"/>
        <w:spacing w:line="560" w:lineRule="exact"/>
        <w:jc w:val="left"/>
        <w:rPr>
          <w:rFonts w:ascii="仿宋_GB2312" w:hAnsi="Calibri" w:eastAsia="仿宋_GB2312" w:cs="Calibri"/>
          <w:b/>
          <w:color w:val="000000" w:themeColor="text1"/>
          <w:kern w:val="0"/>
          <w:sz w:val="32"/>
          <w:szCs w:val="23"/>
          <w14:textFill>
            <w14:solidFill>
              <w14:schemeClr w14:val="tx1"/>
            </w14:solidFill>
          </w14:textFill>
        </w:rPr>
      </w:pPr>
      <w:r>
        <w:rPr>
          <w:rFonts w:hint="eastAsia" w:ascii="仿宋_GB2312" w:hAnsi="Calibri" w:eastAsia="仿宋_GB2312" w:cs="Calibri"/>
          <w:b/>
          <w:color w:val="000000" w:themeColor="text1"/>
          <w:kern w:val="0"/>
          <w:sz w:val="32"/>
          <w:szCs w:val="23"/>
          <w14:textFill>
            <w14:solidFill>
              <w14:schemeClr w14:val="tx1"/>
            </w14:solidFill>
          </w14:textFill>
        </w:rPr>
        <w:t>附件2</w:t>
      </w:r>
    </w:p>
    <w:p>
      <w:pPr>
        <w:adjustRightInd w:val="0"/>
        <w:snapToGrid w:val="0"/>
        <w:spacing w:line="560" w:lineRule="exact"/>
        <w:ind w:firstLine="640" w:firstLineChars="200"/>
        <w:jc w:val="left"/>
        <w:rPr>
          <w:rFonts w:ascii="仿宋_GB2312" w:hAnsi="Calibri" w:eastAsia="仿宋_GB2312" w:cs="Calibri"/>
          <w:color w:val="000000" w:themeColor="text1"/>
          <w:kern w:val="0"/>
          <w:sz w:val="32"/>
          <w:szCs w:val="23"/>
          <w14:textFill>
            <w14:solidFill>
              <w14:schemeClr w14:val="tx1"/>
            </w14:solidFill>
          </w14:textFill>
        </w:rPr>
      </w:pPr>
    </w:p>
    <w:p>
      <w:pPr>
        <w:adjustRightInd w:val="0"/>
        <w:snapToGrid w:val="0"/>
        <w:spacing w:line="560" w:lineRule="exact"/>
        <w:jc w:val="center"/>
        <w:rPr>
          <w:rFonts w:ascii="方正小标宋简体" w:hAnsi="仿宋_GB2312" w:eastAsia="方正小标宋简体" w:cs="宋体"/>
          <w:color w:val="000000" w:themeColor="text1"/>
          <w:kern w:val="0"/>
          <w:sz w:val="44"/>
          <w:szCs w:val="44"/>
          <w14:textFill>
            <w14:solidFill>
              <w14:schemeClr w14:val="tx1"/>
            </w14:solidFill>
          </w14:textFill>
        </w:rPr>
      </w:pPr>
      <w:r>
        <w:rPr>
          <w:rFonts w:hint="eastAsia" w:ascii="方正小标宋简体" w:hAnsi="仿宋_GB2312" w:eastAsia="方正小标宋简体" w:cs="宋体"/>
          <w:color w:val="000000" w:themeColor="text1"/>
          <w:kern w:val="0"/>
          <w:sz w:val="44"/>
          <w:szCs w:val="44"/>
          <w14:textFill>
            <w14:solidFill>
              <w14:schemeClr w14:val="tx1"/>
            </w14:solidFill>
          </w14:textFill>
        </w:rPr>
        <w:t>深圳市重点企业研究院支持项目</w:t>
      </w:r>
    </w:p>
    <w:p>
      <w:pPr>
        <w:adjustRightInd w:val="0"/>
        <w:snapToGrid w:val="0"/>
        <w:spacing w:line="560" w:lineRule="exact"/>
        <w:jc w:val="center"/>
        <w:rPr>
          <w:rFonts w:ascii="方正小标宋简体" w:hAnsi="仿宋_GB2312" w:eastAsia="方正小标宋简体" w:cs="宋体"/>
          <w:color w:val="000000" w:themeColor="text1"/>
          <w:kern w:val="0"/>
          <w:sz w:val="44"/>
          <w:szCs w:val="44"/>
          <w14:textFill>
            <w14:solidFill>
              <w14:schemeClr w14:val="tx1"/>
            </w14:solidFill>
          </w14:textFill>
        </w:rPr>
      </w:pPr>
      <w:r>
        <w:rPr>
          <w:rFonts w:hint="eastAsia" w:ascii="方正小标宋简体" w:hAnsi="仿宋_GB2312" w:eastAsia="方正小标宋简体" w:cs="宋体"/>
          <w:color w:val="000000" w:themeColor="text1"/>
          <w:kern w:val="0"/>
          <w:sz w:val="44"/>
          <w:szCs w:val="44"/>
          <w14:textFill>
            <w14:solidFill>
              <w14:schemeClr w14:val="tx1"/>
            </w14:solidFill>
          </w14:textFill>
        </w:rPr>
        <w:t>建设成果报告编写提纲</w:t>
      </w:r>
    </w:p>
    <w:p>
      <w:pPr>
        <w:adjustRightInd w:val="0"/>
        <w:snapToGrid w:val="0"/>
        <w:spacing w:line="560" w:lineRule="exact"/>
        <w:ind w:firstLine="640" w:firstLineChars="200"/>
        <w:jc w:val="left"/>
        <w:rPr>
          <w:rFonts w:ascii="仿宋_GB2312" w:hAnsi="仿宋_GB2312" w:eastAsia="仿宋_GB2312" w:cs="宋体"/>
          <w:color w:val="000000" w:themeColor="text1"/>
          <w:kern w:val="0"/>
          <w:sz w:val="32"/>
          <w:szCs w:val="23"/>
          <w14:textFill>
            <w14:solidFill>
              <w14:schemeClr w14:val="tx1"/>
            </w14:solidFill>
          </w14:textFill>
        </w:rPr>
      </w:pPr>
    </w:p>
    <w:p>
      <w:pPr>
        <w:pStyle w:val="8"/>
        <w:numPr>
          <w:ilvl w:val="0"/>
          <w:numId w:val="2"/>
        </w:numPr>
        <w:adjustRightInd w:val="0"/>
        <w:snapToGrid w:val="0"/>
        <w:spacing w:line="560" w:lineRule="exact"/>
        <w:ind w:left="0" w:firstLine="640" w:firstLineChars="0"/>
        <w:jc w:val="left"/>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重点企业研究院建设背景和意义</w:t>
      </w:r>
    </w:p>
    <w:p>
      <w:pPr>
        <w:pStyle w:val="8"/>
        <w:numPr>
          <w:ilvl w:val="0"/>
          <w:numId w:val="2"/>
        </w:numPr>
        <w:adjustRightInd w:val="0"/>
        <w:snapToGrid w:val="0"/>
        <w:spacing w:line="560" w:lineRule="exact"/>
        <w:ind w:left="0" w:firstLine="640" w:firstLineChars="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重点企业研究院建设目标和特色</w:t>
      </w:r>
    </w:p>
    <w:p>
      <w:pPr>
        <w:pStyle w:val="8"/>
        <w:numPr>
          <w:ilvl w:val="0"/>
          <w:numId w:val="2"/>
        </w:numPr>
        <w:adjustRightInd w:val="0"/>
        <w:snapToGrid w:val="0"/>
        <w:spacing w:line="560" w:lineRule="exact"/>
        <w:ind w:left="0" w:firstLine="640" w:firstLineChars="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重点企业研究院的研发方案</w:t>
      </w:r>
    </w:p>
    <w:p>
      <w:pPr>
        <w:pStyle w:val="8"/>
        <w:numPr>
          <w:ilvl w:val="0"/>
          <w:numId w:val="3"/>
        </w:numPr>
        <w:adjustRightInd w:val="0"/>
        <w:snapToGrid w:val="0"/>
        <w:spacing w:line="560" w:lineRule="exact"/>
        <w:ind w:left="1134" w:firstLine="420" w:firstLineChars="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研发方向</w:t>
      </w:r>
    </w:p>
    <w:p>
      <w:pPr>
        <w:pStyle w:val="8"/>
        <w:numPr>
          <w:ilvl w:val="0"/>
          <w:numId w:val="3"/>
        </w:numPr>
        <w:adjustRightInd w:val="0"/>
        <w:snapToGrid w:val="0"/>
        <w:spacing w:line="560" w:lineRule="exact"/>
        <w:ind w:left="1134" w:firstLine="420" w:firstLineChars="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研发内容</w:t>
      </w:r>
    </w:p>
    <w:p>
      <w:pPr>
        <w:pStyle w:val="8"/>
        <w:numPr>
          <w:ilvl w:val="0"/>
          <w:numId w:val="3"/>
        </w:numPr>
        <w:adjustRightInd w:val="0"/>
        <w:snapToGrid w:val="0"/>
        <w:spacing w:line="560" w:lineRule="exact"/>
        <w:ind w:left="1134" w:firstLine="420" w:firstLineChars="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技术路线</w:t>
      </w:r>
    </w:p>
    <w:p>
      <w:pPr>
        <w:pStyle w:val="8"/>
        <w:numPr>
          <w:ilvl w:val="0"/>
          <w:numId w:val="2"/>
        </w:numPr>
        <w:adjustRightInd w:val="0"/>
        <w:snapToGrid w:val="0"/>
        <w:spacing w:line="560" w:lineRule="exact"/>
        <w:ind w:left="0" w:firstLine="640" w:firstLineChars="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重点企业研究院建设成果</w:t>
      </w:r>
    </w:p>
    <w:p>
      <w:pPr>
        <w:pStyle w:val="8"/>
        <w:numPr>
          <w:ilvl w:val="0"/>
          <w:numId w:val="4"/>
        </w:numPr>
        <w:adjustRightInd w:val="0"/>
        <w:snapToGrid w:val="0"/>
        <w:spacing w:line="560" w:lineRule="exact"/>
        <w:ind w:left="2778" w:hanging="1077" w:firstLineChars="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研发条件建设成果</w:t>
      </w:r>
    </w:p>
    <w:p>
      <w:pPr>
        <w:pStyle w:val="8"/>
        <w:numPr>
          <w:ilvl w:val="0"/>
          <w:numId w:val="4"/>
        </w:numPr>
        <w:adjustRightInd w:val="0"/>
        <w:snapToGrid w:val="0"/>
        <w:spacing w:line="560" w:lineRule="exact"/>
        <w:ind w:left="2778" w:hanging="1077" w:firstLineChars="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研发团队建设成果</w:t>
      </w:r>
    </w:p>
    <w:p>
      <w:pPr>
        <w:pStyle w:val="8"/>
        <w:numPr>
          <w:ilvl w:val="0"/>
          <w:numId w:val="4"/>
        </w:numPr>
        <w:adjustRightInd w:val="0"/>
        <w:snapToGrid w:val="0"/>
        <w:spacing w:line="560" w:lineRule="exact"/>
        <w:ind w:left="2778" w:hanging="1077" w:firstLineChars="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技术创新建设成果</w:t>
      </w:r>
    </w:p>
    <w:p>
      <w:pPr>
        <w:pStyle w:val="8"/>
        <w:numPr>
          <w:ilvl w:val="0"/>
          <w:numId w:val="4"/>
        </w:numPr>
        <w:adjustRightInd w:val="0"/>
        <w:snapToGrid w:val="0"/>
        <w:spacing w:line="560" w:lineRule="exact"/>
        <w:ind w:left="2778" w:hanging="1077" w:firstLineChars="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创新载体建设成果（若有）</w:t>
      </w:r>
    </w:p>
    <w:p>
      <w:pPr>
        <w:pStyle w:val="8"/>
        <w:numPr>
          <w:ilvl w:val="0"/>
          <w:numId w:val="4"/>
        </w:numPr>
        <w:adjustRightInd w:val="0"/>
        <w:snapToGrid w:val="0"/>
        <w:spacing w:line="560" w:lineRule="exact"/>
        <w:ind w:left="2778" w:hanging="1077" w:firstLineChars="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经济效益建设成果</w:t>
      </w:r>
    </w:p>
    <w:p>
      <w:pPr>
        <w:pStyle w:val="8"/>
        <w:numPr>
          <w:ilvl w:val="0"/>
          <w:numId w:val="2"/>
        </w:numPr>
        <w:adjustRightInd w:val="0"/>
        <w:snapToGrid w:val="0"/>
        <w:spacing w:line="560" w:lineRule="exact"/>
        <w:ind w:left="0" w:firstLine="640" w:firstLineChars="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重点企业研究院经费投入与核算</w:t>
      </w:r>
    </w:p>
    <w:p>
      <w:pPr>
        <w:pStyle w:val="8"/>
        <w:numPr>
          <w:ilvl w:val="0"/>
          <w:numId w:val="2"/>
        </w:numPr>
        <w:adjustRightInd w:val="0"/>
        <w:snapToGrid w:val="0"/>
        <w:spacing w:line="560" w:lineRule="exact"/>
        <w:ind w:left="0" w:firstLine="640" w:firstLineChars="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重点企业研究院组织架构和运行管理</w:t>
      </w:r>
    </w:p>
    <w:p>
      <w:pPr>
        <w:pStyle w:val="8"/>
        <w:numPr>
          <w:ilvl w:val="0"/>
          <w:numId w:val="2"/>
        </w:numPr>
        <w:adjustRightInd w:val="0"/>
        <w:snapToGrid w:val="0"/>
        <w:spacing w:line="560" w:lineRule="exact"/>
        <w:ind w:left="0" w:firstLine="640" w:firstLineChars="0"/>
        <w:rPr>
          <w:rFonts w:ascii="仿宋_GB2312" w:hAnsi="仿宋_GB2312" w:eastAsia="仿宋_GB2312" w:cs="宋体"/>
          <w:color w:val="000000" w:themeColor="text1"/>
          <w:kern w:val="0"/>
          <w:sz w:val="32"/>
          <w:szCs w:val="23"/>
          <w14:textFill>
            <w14:solidFill>
              <w14:schemeClr w14:val="tx1"/>
            </w14:solidFill>
          </w14:textFill>
        </w:rPr>
      </w:pPr>
      <w:r>
        <w:rPr>
          <w:rFonts w:hint="eastAsia" w:ascii="仿宋_GB2312" w:hAnsi="仿宋_GB2312" w:eastAsia="仿宋_GB2312" w:cs="宋体"/>
          <w:color w:val="000000" w:themeColor="text1"/>
          <w:kern w:val="0"/>
          <w:sz w:val="32"/>
          <w:szCs w:val="23"/>
          <w14:textFill>
            <w14:solidFill>
              <w14:schemeClr w14:val="tx1"/>
            </w14:solidFill>
          </w14:textFill>
        </w:rPr>
        <w:t>保障措施</w:t>
      </w: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spacing w:line="620" w:lineRule="exact"/>
        <w:jc w:val="center"/>
        <w:rPr>
          <w:rFonts w:ascii="方正小标宋简体" w:eastAsia="方正小标宋简体"/>
          <w:sz w:val="44"/>
        </w:rPr>
      </w:pPr>
      <w:r>
        <w:rPr>
          <w:rFonts w:hint="eastAsia" w:ascii="方正小标宋简体" w:eastAsia="方正小标宋简体"/>
          <w:sz w:val="44"/>
        </w:rPr>
        <w:t>《深圳市重点企业研究院管理办法》</w:t>
      </w:r>
    </w:p>
    <w:p>
      <w:pPr>
        <w:spacing w:line="620" w:lineRule="exact"/>
        <w:jc w:val="center"/>
        <w:rPr>
          <w:rFonts w:ascii="方正小标宋简体" w:eastAsia="方正小标宋简体"/>
          <w:sz w:val="44"/>
        </w:rPr>
      </w:pPr>
      <w:r>
        <w:rPr>
          <w:rFonts w:hint="eastAsia" w:ascii="方正小标宋简体" w:eastAsia="方正小标宋简体"/>
          <w:sz w:val="44"/>
        </w:rPr>
        <w:t>（征求意见稿）</w:t>
      </w:r>
      <w:r>
        <w:rPr>
          <w:rFonts w:hint="eastAsia" w:ascii="方正小标宋简体" w:eastAsia="方正小标宋简体"/>
          <w:sz w:val="44"/>
          <w:lang w:eastAsia="zh-CN"/>
        </w:rPr>
        <w:t>起草</w:t>
      </w:r>
      <w:r>
        <w:rPr>
          <w:rFonts w:hint="eastAsia" w:ascii="方正小标宋简体" w:eastAsia="方正小标宋简体"/>
          <w:sz w:val="44"/>
        </w:rPr>
        <w:t>说明</w:t>
      </w:r>
    </w:p>
    <w:p>
      <w:pPr>
        <w:spacing w:line="620" w:lineRule="exact"/>
        <w:ind w:firstLine="630"/>
        <w:rPr>
          <w:rFonts w:eastAsia="仿宋_GB2312"/>
          <w:sz w:val="32"/>
          <w:szCs w:val="32"/>
        </w:rPr>
      </w:pPr>
    </w:p>
    <w:p>
      <w:pPr>
        <w:spacing w:line="620" w:lineRule="exact"/>
        <w:ind w:firstLine="630"/>
        <w:rPr>
          <w:rFonts w:ascii="仿宋_GB2312" w:hAnsi="仿宋" w:eastAsia="仿宋_GB2312"/>
          <w:sz w:val="32"/>
          <w:szCs w:val="32"/>
        </w:rPr>
      </w:pPr>
      <w:r>
        <w:rPr>
          <w:rFonts w:hint="eastAsia" w:eastAsia="仿宋_GB2312"/>
          <w:sz w:val="32"/>
          <w:szCs w:val="32"/>
        </w:rPr>
        <w:t>为进一步突出企业的创新主体地位，提升企业自主创新能力，加强和规范重点企业研究院管理，根据</w:t>
      </w:r>
      <w:r>
        <w:rPr>
          <w:rFonts w:hint="eastAsia" w:ascii="仿宋_GB2312" w:hAnsi="仿宋" w:eastAsia="仿宋_GB2312"/>
          <w:sz w:val="32"/>
          <w:szCs w:val="32"/>
        </w:rPr>
        <w:t>《国务院办公厅关于强化企业技术创新主体地位全面提升企业创新能力的意见》（国办发〔2013〕22号）、《国务院关于优化科研管理提升科研绩效若干措施的通知》（国发〔2018〕25号）、《关于促进科技创新的若干措施》（深发〔2016〕7号）等有关规定，结合现有市级创新载体的建设情况，初步拟定了《深圳市重点企业研究院管理办法》（征求意见稿）（以下简称《办法》）。现将相关情况说明如下：</w:t>
      </w:r>
    </w:p>
    <w:p>
      <w:pPr>
        <w:adjustRightInd w:val="0"/>
        <w:snapToGrid w:val="0"/>
        <w:spacing w:line="620" w:lineRule="exact"/>
        <w:ind w:firstLine="643" w:firstLineChars="200"/>
        <w:outlineLvl w:val="0"/>
        <w:rPr>
          <w:rFonts w:ascii="仿宋_GB2312" w:eastAsia="仿宋_GB2312"/>
          <w:b/>
          <w:sz w:val="32"/>
          <w:szCs w:val="32"/>
        </w:rPr>
      </w:pPr>
      <w:r>
        <w:rPr>
          <w:rFonts w:hint="eastAsia" w:ascii="仿宋_GB2312" w:eastAsia="仿宋_GB2312"/>
          <w:b/>
          <w:sz w:val="32"/>
          <w:szCs w:val="32"/>
        </w:rPr>
        <w:t>一、编制背景</w:t>
      </w:r>
    </w:p>
    <w:p>
      <w:pPr>
        <w:spacing w:line="620" w:lineRule="exact"/>
        <w:ind w:firstLine="630"/>
        <w:rPr>
          <w:rFonts w:eastAsia="仿宋_GB2312"/>
          <w:sz w:val="32"/>
          <w:szCs w:val="32"/>
        </w:rPr>
      </w:pPr>
      <w:r>
        <w:rPr>
          <w:rFonts w:hint="eastAsia" w:eastAsia="仿宋_GB2312"/>
          <w:sz w:val="32"/>
          <w:szCs w:val="32"/>
        </w:rPr>
        <w:t>“十二五”期间，我市实施了互联网、生物、新能源、新材料、新一代信息技术、节能环保、海洋、航空航天、生命健康、机器人、可穿戴设备和智能装备等新兴产业一系列科技计划，支持建设了一大批重点实验室、工程实验室、工程技术研究中心、企业技术中心、公共技术服务平台等创新载体，推动了我市产业的转型升级和提质增效，促进了我市新兴产业经济的快速发展。进入“十三五”时期，国家赋予我市建设国际科技、产业创新中心的重要使命。</w:t>
      </w:r>
      <w:r>
        <w:rPr>
          <w:rFonts w:eastAsia="仿宋_GB2312"/>
          <w:sz w:val="32"/>
          <w:szCs w:val="32"/>
        </w:rPr>
        <w:t>为贯彻落实中央《关于深化科技体制改革加快国家创新体系建设的意见》</w:t>
      </w:r>
      <w:r>
        <w:rPr>
          <w:rFonts w:hint="eastAsia" w:eastAsia="仿宋_GB2312"/>
          <w:sz w:val="32"/>
          <w:szCs w:val="32"/>
        </w:rPr>
        <w:t>和伟中书记的重要指示精神，对接国家、省科技计划改革措施，我委全面梳理和优化市科技计划管理框架，制定科技计划管理改革工作方案，以打造充满活力的综合创新生态体系，全面推进创新驱动发展。</w:t>
      </w:r>
    </w:p>
    <w:p>
      <w:pPr>
        <w:spacing w:line="620" w:lineRule="exact"/>
        <w:ind w:firstLine="630"/>
        <w:rPr>
          <w:rFonts w:eastAsia="仿宋_GB2312"/>
          <w:sz w:val="32"/>
          <w:szCs w:val="32"/>
        </w:rPr>
      </w:pPr>
      <w:r>
        <w:rPr>
          <w:rFonts w:hint="eastAsia" w:eastAsia="仿宋_GB2312"/>
          <w:sz w:val="32"/>
          <w:szCs w:val="32"/>
        </w:rPr>
        <w:t>深圳作为市场化程度较高的地区，充分发挥市场在创新驱动发展中的决定性作用，构建了以企业为主体、市场为导向、产学研相结合的技术创新体系，形成了“6个90%”的创新特点：90%以上的创新型企业是本土企业、90%以上的研发机构设立在企业、90%以上的研发人员集中在企业、90%以上的研发资金来源于企业、90%以上的职务发明专利出自于企业、90%以上的重大科技项目发明专利来源于龙头企业，充分彰显了企业的创新主体地位。我市通过建设创新载体和实施科技计划项目等措施不断强化企业创新主体地位，进一步激发了企业创新活力，有效带动了高新技术产业的快速发展。</w:t>
      </w:r>
    </w:p>
    <w:p>
      <w:pPr>
        <w:spacing w:line="620" w:lineRule="exact"/>
        <w:ind w:firstLine="630"/>
        <w:rPr>
          <w:rFonts w:eastAsia="仿宋_GB2312"/>
          <w:sz w:val="32"/>
          <w:szCs w:val="32"/>
        </w:rPr>
      </w:pPr>
      <w:r>
        <w:rPr>
          <w:rFonts w:hint="eastAsia" w:eastAsia="仿宋_GB2312"/>
          <w:sz w:val="32"/>
          <w:szCs w:val="32"/>
        </w:rPr>
        <w:t>近三年来，我市企业积极申报建设各类创新载体，累计建设企业创新载体362个，但主要集中在市级创新载体（203个，56.1%），高水平创新载体数量较少，国家级创新载体仅占5.8%（国家级21个，省级138个）。部分企业拥有多个市级创新载体，却没有一个省级、国家级创新载体，短板明显。由此可见，统筹整合企业的优势资源，破除企业现有创新载体“个体强，团体弱”的局面，推行重点企业研究院建设，助推企业建设更高水平的创新载体，完善企业创新链条和我市创新体系，十分必要。</w:t>
      </w:r>
    </w:p>
    <w:p>
      <w:pPr>
        <w:spacing w:line="620" w:lineRule="exact"/>
        <w:ind w:firstLine="630"/>
        <w:rPr>
          <w:rFonts w:eastAsia="仿宋_GB2312"/>
          <w:sz w:val="32"/>
          <w:szCs w:val="32"/>
        </w:rPr>
      </w:pPr>
      <w:r>
        <w:rPr>
          <w:rFonts w:hint="eastAsia" w:eastAsia="仿宋_GB2312"/>
          <w:sz w:val="32"/>
          <w:szCs w:val="32"/>
        </w:rPr>
        <w:t>2017年7月，广东省科技厅发布《广东省高新技术产业开发区创新发展战略提升行动实施方案（2017-2020年）》，明确要求“5亿以上工业企业研发机构全覆盖”，并提出“大中型工业企业建立市级以上研发机构，骨干企业建立省级以上研发机构”的发展要求。因此，进一步推动企业研发机构创建工作，创新对企业研发投入的支持方式，打造新型企业研发载体，继续</w:t>
      </w:r>
      <w:r>
        <w:rPr>
          <w:rFonts w:hint="eastAsia" w:eastAsia="仿宋_GB2312"/>
          <w:color w:val="000000" w:themeColor="text1"/>
          <w:sz w:val="32"/>
          <w:szCs w:val="32"/>
          <w14:textFill>
            <w14:solidFill>
              <w14:schemeClr w14:val="tx1"/>
            </w14:solidFill>
          </w14:textFill>
        </w:rPr>
        <w:t>发挥</w:t>
      </w:r>
      <w:r>
        <w:rPr>
          <w:rFonts w:hint="eastAsia" w:eastAsia="仿宋_GB2312"/>
          <w:sz w:val="32"/>
          <w:szCs w:val="32"/>
        </w:rPr>
        <w:t>好排头兵的引领示范作用，对深圳继续保持创新高地的地位，打造国际科技、产业创新中心具有十分重要的意义。</w:t>
      </w:r>
    </w:p>
    <w:p>
      <w:pPr>
        <w:spacing w:line="620" w:lineRule="exact"/>
        <w:ind w:firstLine="630"/>
        <w:rPr>
          <w:rFonts w:eastAsia="仿宋_GB2312"/>
          <w:sz w:val="32"/>
          <w:szCs w:val="32"/>
        </w:rPr>
      </w:pPr>
      <w:r>
        <w:rPr>
          <w:rFonts w:hint="eastAsia" w:ascii="仿宋" w:hAnsi="仿宋" w:eastAsia="仿宋"/>
          <w:sz w:val="32"/>
          <w:szCs w:val="32"/>
        </w:rPr>
        <w:t>综上，根据我委</w:t>
      </w:r>
      <w:r>
        <w:rPr>
          <w:rFonts w:hint="eastAsia" w:eastAsia="仿宋_GB2312"/>
          <w:sz w:val="32"/>
          <w:szCs w:val="32"/>
        </w:rPr>
        <w:t>科技计划管理改革工作方案的总体布局</w:t>
      </w:r>
      <w:r>
        <w:rPr>
          <w:rFonts w:hint="eastAsia" w:ascii="仿宋" w:hAnsi="仿宋" w:eastAsia="仿宋"/>
          <w:sz w:val="32"/>
          <w:szCs w:val="32"/>
        </w:rPr>
        <w:t>，</w:t>
      </w:r>
      <w:r>
        <w:rPr>
          <w:rFonts w:hint="eastAsia" w:ascii="仿宋_GB2312" w:hAnsi="仿宋" w:eastAsia="仿宋_GB2312"/>
          <w:sz w:val="32"/>
          <w:szCs w:val="32"/>
        </w:rPr>
        <w:t>在现有创新载体的基础上，</w:t>
      </w:r>
      <w:r>
        <w:rPr>
          <w:rFonts w:hint="eastAsia" w:ascii="仿宋" w:hAnsi="仿宋" w:eastAsia="仿宋"/>
          <w:sz w:val="32"/>
          <w:szCs w:val="32"/>
        </w:rPr>
        <w:t>增设“重点企业研究院支持项目”。为</w:t>
      </w:r>
      <w:r>
        <w:rPr>
          <w:rFonts w:hint="eastAsia" w:eastAsia="仿宋_GB2312"/>
          <w:sz w:val="32"/>
          <w:szCs w:val="32"/>
        </w:rPr>
        <w:t>加强和规范重点企业研究院管理，初步拟定了</w:t>
      </w:r>
      <w:r>
        <w:rPr>
          <w:rFonts w:hint="eastAsia" w:ascii="仿宋_GB2312" w:hAnsi="仿宋" w:eastAsia="仿宋_GB2312"/>
          <w:sz w:val="32"/>
          <w:szCs w:val="32"/>
        </w:rPr>
        <w:t>《办法》</w:t>
      </w:r>
      <w:r>
        <w:rPr>
          <w:rFonts w:hint="eastAsia" w:eastAsia="仿宋_GB2312"/>
          <w:sz w:val="32"/>
          <w:szCs w:val="32"/>
        </w:rPr>
        <w:t>。</w:t>
      </w:r>
    </w:p>
    <w:p>
      <w:pPr>
        <w:adjustRightInd w:val="0"/>
        <w:snapToGrid w:val="0"/>
        <w:spacing w:line="620" w:lineRule="exact"/>
        <w:ind w:firstLine="643" w:firstLineChars="200"/>
        <w:outlineLvl w:val="0"/>
        <w:rPr>
          <w:rFonts w:ascii="仿宋_GB2312" w:eastAsia="仿宋_GB2312"/>
          <w:b/>
          <w:sz w:val="32"/>
          <w:szCs w:val="32"/>
        </w:rPr>
      </w:pPr>
      <w:r>
        <w:rPr>
          <w:rFonts w:hint="eastAsia" w:ascii="仿宋_GB2312" w:eastAsia="仿宋_GB2312"/>
          <w:b/>
          <w:sz w:val="32"/>
          <w:szCs w:val="32"/>
        </w:rPr>
        <w:t>二、编制思路</w:t>
      </w:r>
    </w:p>
    <w:p>
      <w:pPr>
        <w:spacing w:line="620" w:lineRule="exact"/>
        <w:ind w:firstLine="630"/>
        <w:rPr>
          <w:rFonts w:eastAsia="仿宋_GB2312"/>
          <w:sz w:val="32"/>
          <w:szCs w:val="32"/>
        </w:rPr>
      </w:pPr>
      <w:r>
        <w:rPr>
          <w:rFonts w:hint="eastAsia" w:eastAsia="仿宋_GB2312"/>
          <w:sz w:val="32"/>
          <w:szCs w:val="32"/>
        </w:rPr>
        <w:t>为落实“构建总体布局合理、功能定位清晰的市级科技计划体系，形成职责规范、科学高效、公开透明的组织管理机制”的科技计划改革总目标，我委增设“重点企业研究院支持项目”，以完善企业技术创新链条，健全我市科技创新体系。</w:t>
      </w:r>
    </w:p>
    <w:p>
      <w:pPr>
        <w:spacing w:line="620" w:lineRule="exact"/>
        <w:ind w:firstLine="630"/>
        <w:rPr>
          <w:rFonts w:eastAsia="仿宋_GB2312"/>
          <w:sz w:val="32"/>
          <w:szCs w:val="32"/>
        </w:rPr>
      </w:pPr>
      <w:r>
        <w:rPr>
          <w:rFonts w:hint="eastAsia" w:eastAsia="仿宋_GB2312"/>
          <w:sz w:val="32"/>
          <w:szCs w:val="32"/>
        </w:rPr>
        <w:t>我市高新技术企业大多设有研发部门，积极开展各项技术研发，并在此基础上申报创建了重点实验室、工程中心、企业技术中心等市级创新载体，形成了“研发部门-市级创新载体”的技术创新链条雏形，但各创新载体独立运行，难以形成合力，通过建设“重点企业研究院”，有利于推进企业统筹整合自身优势资源，集聚创新要素，加大研发投入，激发企业自主创新活力，助推企业申请建设国家级创新载体，延展形成“研发部门-市级创新载体-重点企业研究院-国家级创新载体”的企业技术创新全链条。</w:t>
      </w:r>
    </w:p>
    <w:p>
      <w:pPr>
        <w:spacing w:line="620" w:lineRule="exact"/>
        <w:ind w:firstLine="630"/>
        <w:rPr>
          <w:rFonts w:eastAsia="仿宋_GB2312"/>
          <w:sz w:val="32"/>
          <w:szCs w:val="32"/>
        </w:rPr>
      </w:pPr>
      <w:r>
        <w:rPr>
          <w:rFonts w:hint="eastAsia" w:eastAsia="仿宋_GB2312"/>
          <w:sz w:val="32"/>
          <w:szCs w:val="32"/>
        </w:rPr>
        <w:t xml:space="preserve">我市现有创新载体各自平行运作，建设方式以“先认定，后验收”为主，形式相对单一。重点企业研究院将采用“先建设，后认定”的工作机制，着力整合优化企业现有各类创新载体，提升整体研发水平，一方面可丰富市级创新载体的形式和对企业研发投入的支持方式，另一方面将有利于企业发挥整体优势，加快对标国家级创新载体，缩短申报国家级创新载体周期，完善形成“市级创新载体-重点企业研究院-国家级创新载体”的深圳科技创新体系。 </w:t>
      </w:r>
    </w:p>
    <w:p>
      <w:pPr>
        <w:adjustRightInd w:val="0"/>
        <w:snapToGrid w:val="0"/>
        <w:spacing w:line="620" w:lineRule="exact"/>
        <w:ind w:firstLine="643" w:firstLineChars="200"/>
        <w:outlineLvl w:val="0"/>
        <w:rPr>
          <w:rFonts w:ascii="仿宋_GB2312" w:eastAsia="仿宋_GB2312"/>
          <w:b/>
          <w:sz w:val="32"/>
          <w:szCs w:val="32"/>
        </w:rPr>
      </w:pPr>
      <w:r>
        <w:rPr>
          <w:rFonts w:hint="eastAsia" w:ascii="仿宋_GB2312" w:eastAsia="仿宋_GB2312"/>
          <w:b/>
          <w:sz w:val="32"/>
          <w:szCs w:val="32"/>
        </w:rPr>
        <w:t>三、编制过程</w:t>
      </w:r>
    </w:p>
    <w:p>
      <w:pPr>
        <w:adjustRightInd w:val="0"/>
        <w:snapToGrid w:val="0"/>
        <w:spacing w:line="620" w:lineRule="exact"/>
        <w:ind w:firstLine="640" w:firstLineChars="200"/>
        <w:rPr>
          <w:rFonts w:ascii="仿宋_GB2312" w:eastAsia="仿宋_GB2312"/>
          <w:b/>
          <w:sz w:val="32"/>
          <w:szCs w:val="32"/>
        </w:rPr>
      </w:pPr>
      <w:r>
        <w:rPr>
          <w:rFonts w:hint="eastAsia" w:eastAsia="仿宋_GB2312"/>
          <w:sz w:val="32"/>
          <w:szCs w:val="32"/>
        </w:rPr>
        <w:t>在《办法》编制过程中，我委充分考虑原有科技计划管理框架的稳定和衔接，注重做好新增科技计划与原有计划的继承关系，具体分专题调研、梳理创新载体概况、编制初稿、征求意见四个阶段编制形成《办法》征求意见稿。</w:t>
      </w:r>
    </w:p>
    <w:p>
      <w:pPr>
        <w:adjustRightInd w:val="0"/>
        <w:snapToGrid w:val="0"/>
        <w:spacing w:line="620" w:lineRule="exact"/>
        <w:ind w:firstLine="643" w:firstLineChars="200"/>
        <w:rPr>
          <w:rFonts w:ascii="仿宋_GB2312" w:eastAsia="仿宋_GB2312"/>
          <w:b/>
          <w:sz w:val="32"/>
          <w:szCs w:val="32"/>
        </w:rPr>
      </w:pPr>
      <w:r>
        <w:rPr>
          <w:rFonts w:hint="eastAsia" w:ascii="仿宋_GB2312" w:eastAsia="仿宋_GB2312"/>
          <w:b/>
          <w:sz w:val="32"/>
          <w:szCs w:val="32"/>
        </w:rPr>
        <w:t>（一）专题调研</w:t>
      </w:r>
    </w:p>
    <w:p>
      <w:pPr>
        <w:adjustRightInd w:val="0"/>
        <w:snapToGrid w:val="0"/>
        <w:spacing w:line="620" w:lineRule="exact"/>
        <w:ind w:firstLine="640" w:firstLineChars="200"/>
        <w:rPr>
          <w:rFonts w:eastAsia="仿宋_GB2312"/>
          <w:sz w:val="32"/>
          <w:szCs w:val="32"/>
        </w:rPr>
      </w:pPr>
      <w:r>
        <w:rPr>
          <w:rFonts w:hint="eastAsia" w:eastAsia="仿宋_GB2312"/>
          <w:sz w:val="32"/>
          <w:szCs w:val="32"/>
        </w:rPr>
        <w:t>根据我委科技计划管理改革工作方案的工作部署，我委多次召开专题研讨，委领导亲自率队分赴科技部、上海、浙江、江苏等部委、省、市科技管理部门调研，学习借鉴科技计划管理的成功经验。</w:t>
      </w:r>
    </w:p>
    <w:p>
      <w:pPr>
        <w:adjustRightInd w:val="0"/>
        <w:snapToGrid w:val="0"/>
        <w:spacing w:line="620" w:lineRule="exact"/>
        <w:ind w:firstLine="640" w:firstLineChars="20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经调研学习和沟通了解，我委重点梳理汇总了浙江省企业创新载体的建设概况。浙江省科技厅通过实施省级企业研究院和重点企业研究院的科技计划，取得了显著成效，累计支持建设了700余家省级企业研究院和200余家省级重点企业研究院，有力地提高了企业自主创新能力，推动了企业技术研发和成果转化，打造了产业竞争新优势，促进了浙江省高新技术产业和战略性新兴产业的发展。</w:t>
      </w:r>
    </w:p>
    <w:p>
      <w:pPr>
        <w:adjustRightInd w:val="0"/>
        <w:snapToGrid w:val="0"/>
        <w:spacing w:line="620" w:lineRule="exact"/>
        <w:ind w:firstLine="643" w:firstLineChars="200"/>
        <w:rPr>
          <w:rFonts w:ascii="仿宋_GB2312" w:eastAsia="仿宋_GB2312"/>
          <w:b/>
          <w:sz w:val="32"/>
          <w:szCs w:val="32"/>
        </w:rPr>
      </w:pPr>
      <w:r>
        <w:rPr>
          <w:rFonts w:hint="eastAsia" w:ascii="仿宋_GB2312" w:eastAsia="仿宋_GB2312"/>
          <w:b/>
          <w:sz w:val="32"/>
          <w:szCs w:val="32"/>
        </w:rPr>
        <w:t>（二）梳理创新载体概况</w:t>
      </w:r>
    </w:p>
    <w:p>
      <w:pPr>
        <w:spacing w:line="620" w:lineRule="exact"/>
        <w:ind w:firstLine="63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在调研学习的基础上，我委还全面梳理归纳了重点实验室、工程技术研究中心、企业技术中心、工程实验室、公共技术服务平台等国家级、省级、市级创新载体的申报条件、管理规定和建设情况，特别是关于研发费用、研发人员、研发实施、知识产权、资助、考核等方面的要求，为“重点企业研究院支持项目”编制工作提供支撑，奠定基础。</w:t>
      </w:r>
    </w:p>
    <w:p>
      <w:pPr>
        <w:adjustRightInd w:val="0"/>
        <w:snapToGrid w:val="0"/>
        <w:spacing w:line="620" w:lineRule="exact"/>
        <w:ind w:firstLine="643" w:firstLineChars="200"/>
        <w:rPr>
          <w:rFonts w:ascii="仿宋_GB2312" w:eastAsia="仿宋_GB2312"/>
          <w:b/>
          <w:sz w:val="32"/>
          <w:szCs w:val="32"/>
        </w:rPr>
      </w:pPr>
      <w:r>
        <w:rPr>
          <w:rFonts w:hint="eastAsia" w:ascii="仿宋_GB2312" w:eastAsia="仿宋_GB2312"/>
          <w:b/>
          <w:sz w:val="32"/>
          <w:szCs w:val="32"/>
        </w:rPr>
        <w:t>（三）编制初稿</w:t>
      </w:r>
    </w:p>
    <w:p>
      <w:pPr>
        <w:spacing w:line="620" w:lineRule="exact"/>
        <w:ind w:firstLine="63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综合考量专题调研、梳理工作以及我市企业技术创新的实际情况，我委实施“重点企业研究院支持项目”，拟以目标导向为编制思路，采取“先建设、后认定”的工作机制，充分发挥企业的创新能动性，给予企业更大的自主权，由企业自主建设、自主管理，不打破企业现有组织架构，减少干涉企业的经营和研发活动，注重简化审批环节，着力强化引导和支持重点企业研究院的创新发展。</w:t>
      </w:r>
    </w:p>
    <w:p>
      <w:pPr>
        <w:spacing w:line="620" w:lineRule="exact"/>
        <w:ind w:firstLine="630"/>
        <w:rPr>
          <w:rFonts w:ascii="仿宋_GB2312" w:eastAsia="仿宋_GB2312"/>
          <w:sz w:val="32"/>
          <w:szCs w:val="32"/>
        </w:rPr>
      </w:pPr>
      <w:r>
        <w:rPr>
          <w:rFonts w:hint="eastAsia" w:ascii="仿宋_GB2312" w:eastAsia="仿宋_GB2312"/>
          <w:sz w:val="32"/>
          <w:szCs w:val="32"/>
        </w:rPr>
        <w:t>在编制过程中，我委紧密结合新形势发展要求，充分总结市级创新载体建设过程中的经验，吸收借鉴其他科技管理部门的管理措施，从职责、认定程序、资助方式、项目管理等方面提出一系列具体举措，形成了《办法》初稿。</w:t>
      </w:r>
    </w:p>
    <w:p>
      <w:pPr>
        <w:adjustRightInd w:val="0"/>
        <w:snapToGrid w:val="0"/>
        <w:spacing w:line="620" w:lineRule="exact"/>
        <w:ind w:firstLine="643" w:firstLineChars="200"/>
        <w:rPr>
          <w:rFonts w:ascii="仿宋_GB2312" w:eastAsia="仿宋_GB2312"/>
          <w:b/>
          <w:sz w:val="32"/>
          <w:szCs w:val="32"/>
        </w:rPr>
      </w:pPr>
      <w:r>
        <w:rPr>
          <w:rFonts w:hint="eastAsia" w:ascii="仿宋_GB2312" w:eastAsia="仿宋_GB2312"/>
          <w:b/>
          <w:sz w:val="32"/>
          <w:szCs w:val="32"/>
        </w:rPr>
        <w:t>（四）征求意见</w:t>
      </w:r>
    </w:p>
    <w:p>
      <w:pPr>
        <w:spacing w:line="620" w:lineRule="exact"/>
        <w:ind w:firstLine="630"/>
        <w:rPr>
          <w:rFonts w:eastAsia="仿宋_GB2312"/>
          <w:sz w:val="32"/>
          <w:szCs w:val="32"/>
        </w:rPr>
      </w:pPr>
      <w:r>
        <w:rPr>
          <w:rFonts w:hint="eastAsia" w:eastAsia="仿宋_GB2312"/>
          <w:sz w:val="32"/>
          <w:szCs w:val="32"/>
        </w:rPr>
        <w:t>根据我委科技计划管理改革工作方案的工作部署，《办法》编制工作落实到业务处室，形成初稿后，召开全委业务处室讨论会，听取各处室的意见和建议。结合反馈意见，对初稿进行修改调整。《办法》修改稿形成后，2月初、8月下月两次召开了企业征求意见座谈会，征求企业代表的意见。经认真研究，我委对大部分反馈意见均已采纳或部分采纳，再次对《办法》进行修改完善。8月底，对修改完善后的《办法》广泛征求了市发改委、市财政委以及各区（新区）等相关单位的意见，结合各单位反馈意见，对文件内容再次补充调整。</w:t>
      </w:r>
    </w:p>
    <w:p>
      <w:pPr>
        <w:adjustRightInd w:val="0"/>
        <w:snapToGrid w:val="0"/>
        <w:spacing w:line="620" w:lineRule="exact"/>
        <w:ind w:firstLine="643" w:firstLineChars="200"/>
        <w:rPr>
          <w:rFonts w:ascii="仿宋_GB2312" w:eastAsia="仿宋_GB2312"/>
          <w:b/>
          <w:sz w:val="32"/>
          <w:szCs w:val="32"/>
        </w:rPr>
      </w:pPr>
      <w:r>
        <w:rPr>
          <w:rFonts w:hint="eastAsia" w:ascii="仿宋_GB2312" w:eastAsia="仿宋_GB2312"/>
          <w:b/>
          <w:sz w:val="32"/>
          <w:szCs w:val="32"/>
        </w:rPr>
        <w:t>四、《办法》主要内容和特点</w:t>
      </w:r>
    </w:p>
    <w:p>
      <w:pPr>
        <w:adjustRightInd w:val="0"/>
        <w:snapToGrid w:val="0"/>
        <w:spacing w:line="620" w:lineRule="exact"/>
        <w:ind w:firstLine="643" w:firstLineChars="200"/>
        <w:outlineLvl w:val="0"/>
        <w:rPr>
          <w:rFonts w:ascii="仿宋_GB2312" w:eastAsia="仿宋_GB2312"/>
          <w:b/>
          <w:sz w:val="32"/>
          <w:szCs w:val="32"/>
        </w:rPr>
      </w:pPr>
      <w:r>
        <w:rPr>
          <w:rFonts w:hint="eastAsia" w:ascii="仿宋_GB2312" w:eastAsia="仿宋_GB2312"/>
          <w:b/>
          <w:sz w:val="32"/>
          <w:szCs w:val="32"/>
        </w:rPr>
        <w:t>（一）《办法》主要内容</w:t>
      </w:r>
    </w:p>
    <w:p>
      <w:pPr>
        <w:spacing w:line="620" w:lineRule="exact"/>
        <w:ind w:firstLine="630"/>
        <w:rPr>
          <w:rFonts w:eastAsia="仿宋_GB2312"/>
          <w:sz w:val="32"/>
          <w:szCs w:val="32"/>
        </w:rPr>
      </w:pPr>
      <w:r>
        <w:rPr>
          <w:rFonts w:hint="eastAsia" w:eastAsia="仿宋_GB2312"/>
          <w:sz w:val="32"/>
          <w:szCs w:val="32"/>
        </w:rPr>
        <w:t>我委积极探索，打造了职责清晰、管理规范的项目管理机制，提出五章共</w:t>
      </w:r>
      <w:r>
        <w:rPr>
          <w:rFonts w:hint="eastAsia" w:eastAsia="仿宋_GB2312"/>
          <w:color w:val="000000" w:themeColor="text1"/>
          <w:sz w:val="32"/>
          <w:szCs w:val="32"/>
          <w14:textFill>
            <w14:solidFill>
              <w14:schemeClr w14:val="tx1"/>
            </w14:solidFill>
          </w14:textFill>
        </w:rPr>
        <w:t>二十七</w:t>
      </w:r>
      <w:r>
        <w:rPr>
          <w:rFonts w:hint="eastAsia" w:eastAsia="仿宋_GB2312"/>
          <w:sz w:val="32"/>
          <w:szCs w:val="32"/>
        </w:rPr>
        <w:t>条管理举措，主要内容包括：</w:t>
      </w:r>
    </w:p>
    <w:p>
      <w:pPr>
        <w:pStyle w:val="8"/>
        <w:numPr>
          <w:ilvl w:val="0"/>
          <w:numId w:val="5"/>
        </w:numPr>
        <w:spacing w:line="620" w:lineRule="exact"/>
        <w:ind w:firstLineChars="0"/>
        <w:rPr>
          <w:rFonts w:eastAsia="仿宋_GB2312"/>
          <w:sz w:val="32"/>
          <w:szCs w:val="32"/>
        </w:rPr>
      </w:pPr>
      <w:r>
        <w:rPr>
          <w:rFonts w:hint="eastAsia" w:eastAsia="仿宋_GB2312"/>
          <w:sz w:val="32"/>
          <w:szCs w:val="32"/>
        </w:rPr>
        <w:t>第一章总则部分</w:t>
      </w:r>
    </w:p>
    <w:p>
      <w:pPr>
        <w:pStyle w:val="8"/>
        <w:spacing w:line="620" w:lineRule="exact"/>
        <w:ind w:firstLine="640"/>
        <w:rPr>
          <w:rFonts w:eastAsia="仿宋_GB2312"/>
          <w:sz w:val="32"/>
          <w:szCs w:val="32"/>
        </w:rPr>
      </w:pPr>
      <w:r>
        <w:rPr>
          <w:rFonts w:hint="eastAsia" w:eastAsia="仿宋_GB2312"/>
          <w:sz w:val="32"/>
          <w:szCs w:val="32"/>
        </w:rPr>
        <w:t>根据相关政策，列明了《办法》的政策依据和管理原则，明确了重点企业研究院的定位，涉及第一至四条。</w:t>
      </w:r>
    </w:p>
    <w:p>
      <w:pPr>
        <w:pStyle w:val="8"/>
        <w:numPr>
          <w:ilvl w:val="0"/>
          <w:numId w:val="5"/>
        </w:numPr>
        <w:spacing w:line="620" w:lineRule="exact"/>
        <w:ind w:firstLineChars="0"/>
        <w:rPr>
          <w:rFonts w:eastAsia="仿宋_GB2312"/>
          <w:sz w:val="32"/>
          <w:szCs w:val="32"/>
        </w:rPr>
      </w:pPr>
      <w:r>
        <w:rPr>
          <w:rFonts w:hint="eastAsia" w:eastAsia="仿宋_GB2312"/>
          <w:sz w:val="32"/>
          <w:szCs w:val="32"/>
        </w:rPr>
        <w:t>第二章职责部分</w:t>
      </w:r>
    </w:p>
    <w:p>
      <w:pPr>
        <w:spacing w:line="620" w:lineRule="exact"/>
        <w:ind w:firstLine="630"/>
        <w:rPr>
          <w:rFonts w:eastAsia="仿宋_GB2312"/>
          <w:sz w:val="32"/>
          <w:szCs w:val="32"/>
        </w:rPr>
      </w:pPr>
      <w:r>
        <w:rPr>
          <w:rFonts w:hint="eastAsia" w:eastAsia="仿宋_GB2312"/>
          <w:sz w:val="32"/>
          <w:szCs w:val="32"/>
        </w:rPr>
        <w:t>第五条和第六条规范了市科技主管部门和依托企业的职责，明确了市科技主管部门在制定重点企业研究院政策、组织项目申报、评审、认定与复核等方面的责任，强调依托企业在建设重点企业研究院、提供基础条件保障、开展技术创新和产业化研究的主体责任。</w:t>
      </w:r>
    </w:p>
    <w:p>
      <w:pPr>
        <w:pStyle w:val="8"/>
        <w:numPr>
          <w:ilvl w:val="0"/>
          <w:numId w:val="5"/>
        </w:numPr>
        <w:spacing w:line="620" w:lineRule="exact"/>
        <w:ind w:firstLineChars="0"/>
        <w:rPr>
          <w:rFonts w:eastAsia="仿宋_GB2312"/>
          <w:sz w:val="32"/>
          <w:szCs w:val="32"/>
        </w:rPr>
      </w:pPr>
      <w:r>
        <w:rPr>
          <w:rFonts w:hint="eastAsia" w:eastAsia="仿宋_GB2312"/>
          <w:sz w:val="32"/>
          <w:szCs w:val="32"/>
        </w:rPr>
        <w:t>第三章认定与资助部分</w:t>
      </w:r>
    </w:p>
    <w:p>
      <w:pPr>
        <w:spacing w:line="620" w:lineRule="exact"/>
        <w:ind w:firstLine="630"/>
        <w:rPr>
          <w:rFonts w:eastAsia="仿宋_GB2312"/>
          <w:sz w:val="32"/>
          <w:szCs w:val="32"/>
        </w:rPr>
      </w:pPr>
      <w:r>
        <w:rPr>
          <w:rFonts w:hint="eastAsia" w:eastAsia="仿宋_GB2312"/>
          <w:sz w:val="32"/>
          <w:szCs w:val="32"/>
        </w:rPr>
        <w:t>结合我市创新载体的建设情况，对重点企业研究院的工作机制、认定和审批程序作出了相关规定，涉及第七至十六条。其中，第七条明确研究院建设工作采取“先建设，后认定”的工作机制，由依托企业自主建设、自主管理，强调研究院建设完成并达到认定条件后才提交认定申请。第</w:t>
      </w:r>
      <w:r>
        <w:rPr>
          <w:rFonts w:hint="eastAsia" w:eastAsia="仿宋_GB2312"/>
          <w:sz w:val="32"/>
          <w:szCs w:val="32"/>
          <w:lang w:eastAsia="zh-CN"/>
        </w:rPr>
        <w:t>八</w:t>
      </w:r>
      <w:r>
        <w:rPr>
          <w:rFonts w:hint="eastAsia" w:eastAsia="仿宋_GB2312"/>
          <w:sz w:val="32"/>
          <w:szCs w:val="32"/>
        </w:rPr>
        <w:t>条对标国家级创新载体准入条件，详细列明了重点企业研究院的认定条件。第十一条规定了依托企业的申报资质和数量限制。第十二条规范了重点企业研究院的组织架构。第十五、十六条明确了财政资金资助强度、资助方式以及使用范围。</w:t>
      </w:r>
    </w:p>
    <w:p>
      <w:pPr>
        <w:pStyle w:val="8"/>
        <w:numPr>
          <w:ilvl w:val="0"/>
          <w:numId w:val="5"/>
        </w:numPr>
        <w:spacing w:line="620" w:lineRule="exact"/>
        <w:ind w:firstLineChars="0"/>
        <w:rPr>
          <w:rFonts w:eastAsia="仿宋_GB2312"/>
          <w:sz w:val="32"/>
          <w:szCs w:val="32"/>
        </w:rPr>
      </w:pPr>
      <w:r>
        <w:rPr>
          <w:rFonts w:hint="eastAsia" w:eastAsia="仿宋_GB2312"/>
          <w:sz w:val="32"/>
          <w:szCs w:val="32"/>
        </w:rPr>
        <w:t>第四章后续管理部分</w:t>
      </w:r>
    </w:p>
    <w:p>
      <w:pPr>
        <w:spacing w:line="620" w:lineRule="exact"/>
        <w:ind w:firstLine="630"/>
        <w:rPr>
          <w:rFonts w:eastAsia="仿宋_GB2312"/>
          <w:sz w:val="32"/>
          <w:szCs w:val="32"/>
        </w:rPr>
      </w:pPr>
      <w:r>
        <w:rPr>
          <w:rFonts w:hint="eastAsia" w:eastAsia="仿宋_GB2312"/>
          <w:sz w:val="32"/>
          <w:szCs w:val="32"/>
        </w:rPr>
        <w:t>为促进重点企业研究院的长期稳定支持，强化了项目后续管理工作。第十七条要求依托企业重大变化应及时备案。第十八条提出了项目申报、财政资助资金使用的失信惩戒制度。第二十至二十四条明确了定期复核评估办法，并列明了各等级的重点企业研究院的奖惩规定。</w:t>
      </w:r>
    </w:p>
    <w:p>
      <w:pPr>
        <w:pStyle w:val="8"/>
        <w:numPr>
          <w:ilvl w:val="0"/>
          <w:numId w:val="5"/>
        </w:numPr>
        <w:spacing w:line="620" w:lineRule="exact"/>
        <w:ind w:firstLineChars="0"/>
        <w:rPr>
          <w:rFonts w:eastAsia="仿宋_GB2312"/>
          <w:sz w:val="32"/>
          <w:szCs w:val="32"/>
        </w:rPr>
      </w:pPr>
      <w:r>
        <w:rPr>
          <w:rFonts w:hint="eastAsia" w:eastAsia="仿宋_GB2312"/>
          <w:sz w:val="32"/>
          <w:szCs w:val="32"/>
        </w:rPr>
        <w:t>第五章附则部分</w:t>
      </w:r>
    </w:p>
    <w:p>
      <w:pPr>
        <w:spacing w:line="620" w:lineRule="exact"/>
        <w:ind w:firstLine="630"/>
        <w:rPr>
          <w:rFonts w:eastAsia="仿宋_GB2312"/>
          <w:sz w:val="32"/>
          <w:szCs w:val="32"/>
        </w:rPr>
      </w:pPr>
      <w:r>
        <w:rPr>
          <w:rFonts w:hint="eastAsia" w:eastAsia="仿宋_GB2312"/>
          <w:sz w:val="32"/>
          <w:szCs w:val="32"/>
        </w:rPr>
        <w:t>第二十五条提出了重点企业研究院的命名规则。按照规范性文件的要求，对本办法的解释权和有效期进行了规定，涉及第二十六、二十七条。</w:t>
      </w:r>
    </w:p>
    <w:p>
      <w:pPr>
        <w:adjustRightInd w:val="0"/>
        <w:snapToGrid w:val="0"/>
        <w:spacing w:line="620" w:lineRule="exact"/>
        <w:ind w:firstLine="643" w:firstLineChars="200"/>
        <w:outlineLvl w:val="0"/>
        <w:rPr>
          <w:rFonts w:ascii="仿宋_GB2312" w:eastAsia="仿宋_GB2312"/>
          <w:b/>
          <w:sz w:val="32"/>
          <w:szCs w:val="32"/>
        </w:rPr>
      </w:pPr>
      <w:r>
        <w:rPr>
          <w:rFonts w:hint="eastAsia" w:ascii="仿宋_GB2312" w:eastAsia="仿宋_GB2312"/>
          <w:b/>
          <w:sz w:val="32"/>
          <w:szCs w:val="32"/>
        </w:rPr>
        <w:t>（二）《办法》特点</w:t>
      </w:r>
    </w:p>
    <w:p>
      <w:pPr>
        <w:spacing w:line="620" w:lineRule="exact"/>
        <w:ind w:firstLine="630"/>
        <w:rPr>
          <w:rFonts w:hint="eastAsia" w:eastAsia="仿宋_GB2312"/>
          <w:color w:val="000000" w:themeColor="text1"/>
          <w:sz w:val="32"/>
          <w:szCs w:val="32"/>
          <w14:textFill>
            <w14:solidFill>
              <w14:schemeClr w14:val="tx1"/>
            </w14:solidFill>
          </w14:textFill>
        </w:rPr>
      </w:pPr>
      <w:r>
        <w:rPr>
          <w:rFonts w:hint="eastAsia" w:eastAsia="仿宋_GB2312"/>
          <w:sz w:val="32"/>
          <w:szCs w:val="32"/>
        </w:rPr>
        <w:t>《办法》特点主要表现在：一是创新对企业研发投入的支持方式，突出企业的创新主体地位，引导重点企业研究院开展技术攻关和科技创新，切实提高企业自主创新能力。二是加强重点企业研究院的长期稳定支持，规范定期复核评估，并予以研发资助</w:t>
      </w:r>
      <w:r>
        <w:rPr>
          <w:rFonts w:hint="eastAsia" w:eastAsia="仿宋_GB2312"/>
          <w:color w:val="000000" w:themeColor="text1"/>
          <w:sz w:val="32"/>
          <w:szCs w:val="32"/>
          <w14:textFill>
            <w14:solidFill>
              <w14:schemeClr w14:val="tx1"/>
            </w14:solidFill>
          </w14:textFill>
        </w:rPr>
        <w:t>奖励，有效保障了重点企业研究院的实施和发展。三是以目标导向为原则，减少审批环节，充分发挥企业创新能动性和自主权，由企业自主建设、自主管理研究院。四是改革项目评估制度，探索试行第三方机构评估模式，减少市科技主管部门对科技项目的裁量权，更加凸显客观性和公平性。</w:t>
      </w:r>
    </w:p>
    <w:p/>
    <w:p>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769673"/>
      <w:docPartObj>
        <w:docPartGallery w:val="autotext"/>
      </w:docPartObj>
    </w:sdtPr>
    <w:sdtEndPr>
      <w:rPr>
        <w:sz w:val="21"/>
        <w:szCs w:val="21"/>
      </w:rPr>
    </w:sdtEndPr>
    <w:sdtContent>
      <w:sdt>
        <w:sdtPr>
          <w:id w:val="98381352"/>
          <w:docPartObj>
            <w:docPartGallery w:val="autotext"/>
          </w:docPartObj>
        </w:sdtPr>
        <w:sdtEndPr>
          <w:rPr>
            <w:sz w:val="21"/>
            <w:szCs w:val="21"/>
          </w:rPr>
        </w:sdtEndPr>
        <w:sdtContent>
          <w:p>
            <w:pPr>
              <w:pStyle w:val="3"/>
              <w:ind w:left="1080" w:right="180"/>
              <w:jc w:val="right"/>
            </w:pPr>
            <w:r>
              <w:rPr>
                <w:rFonts w:hint="eastAsia"/>
                <w:sz w:val="21"/>
                <w:szCs w:val="21"/>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hint="eastAsia" w:ascii="Times New Roman" w:hAnsi="Times New Roman" w:cs="Times New Roman"/>
                <w:sz w:val="21"/>
                <w:szCs w:val="21"/>
              </w:rPr>
              <w:t xml:space="preserve"> </w:t>
            </w:r>
            <w:r>
              <w:rPr>
                <w:rFonts w:hint="eastAsia"/>
                <w:sz w:val="21"/>
                <w:szCs w:val="21"/>
              </w:rPr>
              <w:t>—</w:t>
            </w:r>
          </w:p>
        </w:sdtContent>
      </w:sdt>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F6C43"/>
    <w:multiLevelType w:val="multilevel"/>
    <w:tmpl w:val="070F6C43"/>
    <w:lvl w:ilvl="0" w:tentative="0">
      <w:start w:val="1"/>
      <w:numFmt w:val="decimal"/>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1">
    <w:nsid w:val="26194596"/>
    <w:multiLevelType w:val="multilevel"/>
    <w:tmpl w:val="26194596"/>
    <w:lvl w:ilvl="0" w:tentative="0">
      <w:start w:val="1"/>
      <w:numFmt w:val="chineseCountingThousand"/>
      <w:lvlText w:val="%1、"/>
      <w:lvlJc w:val="left"/>
      <w:pPr>
        <w:ind w:left="987"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6044921"/>
    <w:multiLevelType w:val="multilevel"/>
    <w:tmpl w:val="46044921"/>
    <w:lvl w:ilvl="0" w:tentative="0">
      <w:start w:val="1"/>
      <w:numFmt w:val="japaneseCounting"/>
      <w:lvlText w:val="（%1）"/>
      <w:lvlJc w:val="left"/>
      <w:pPr>
        <w:ind w:left="1915" w:hanging="1080"/>
      </w:pPr>
      <w:rPr>
        <w:rFonts w:hint="default"/>
      </w:rPr>
    </w:lvl>
    <w:lvl w:ilvl="1" w:tentative="0">
      <w:start w:val="1"/>
      <w:numFmt w:val="lowerLetter"/>
      <w:lvlText w:val="%2)"/>
      <w:lvlJc w:val="left"/>
      <w:pPr>
        <w:ind w:left="1675" w:hanging="420"/>
      </w:pPr>
    </w:lvl>
    <w:lvl w:ilvl="2" w:tentative="0">
      <w:start w:val="1"/>
      <w:numFmt w:val="lowerRoman"/>
      <w:lvlText w:val="%3."/>
      <w:lvlJc w:val="right"/>
      <w:pPr>
        <w:ind w:left="2095" w:hanging="420"/>
      </w:pPr>
    </w:lvl>
    <w:lvl w:ilvl="3" w:tentative="0">
      <w:start w:val="1"/>
      <w:numFmt w:val="decimal"/>
      <w:lvlText w:val="%4."/>
      <w:lvlJc w:val="left"/>
      <w:pPr>
        <w:ind w:left="2515" w:hanging="420"/>
      </w:pPr>
    </w:lvl>
    <w:lvl w:ilvl="4" w:tentative="0">
      <w:start w:val="1"/>
      <w:numFmt w:val="lowerLetter"/>
      <w:lvlText w:val="%5)"/>
      <w:lvlJc w:val="left"/>
      <w:pPr>
        <w:ind w:left="2935" w:hanging="420"/>
      </w:pPr>
    </w:lvl>
    <w:lvl w:ilvl="5" w:tentative="0">
      <w:start w:val="1"/>
      <w:numFmt w:val="lowerRoman"/>
      <w:lvlText w:val="%6."/>
      <w:lvlJc w:val="right"/>
      <w:pPr>
        <w:ind w:left="3355" w:hanging="420"/>
      </w:pPr>
    </w:lvl>
    <w:lvl w:ilvl="6" w:tentative="0">
      <w:start w:val="1"/>
      <w:numFmt w:val="decimal"/>
      <w:lvlText w:val="%7."/>
      <w:lvlJc w:val="left"/>
      <w:pPr>
        <w:ind w:left="3775" w:hanging="420"/>
      </w:pPr>
    </w:lvl>
    <w:lvl w:ilvl="7" w:tentative="0">
      <w:start w:val="1"/>
      <w:numFmt w:val="lowerLetter"/>
      <w:lvlText w:val="%8)"/>
      <w:lvlJc w:val="left"/>
      <w:pPr>
        <w:ind w:left="4195" w:hanging="420"/>
      </w:pPr>
    </w:lvl>
    <w:lvl w:ilvl="8" w:tentative="0">
      <w:start w:val="1"/>
      <w:numFmt w:val="lowerRoman"/>
      <w:lvlText w:val="%9."/>
      <w:lvlJc w:val="right"/>
      <w:pPr>
        <w:ind w:left="4615" w:hanging="420"/>
      </w:pPr>
    </w:lvl>
  </w:abstractNum>
  <w:abstractNum w:abstractNumId="3">
    <w:nsid w:val="74DF5D8C"/>
    <w:multiLevelType w:val="multilevel"/>
    <w:tmpl w:val="74DF5D8C"/>
    <w:lvl w:ilvl="0" w:tentative="0">
      <w:start w:val="1"/>
      <w:numFmt w:val="japaneseCounting"/>
      <w:lvlText w:val="（%1）"/>
      <w:lvlJc w:val="left"/>
      <w:pPr>
        <w:ind w:left="1920" w:hanging="108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4">
    <w:nsid w:val="7A817183"/>
    <w:multiLevelType w:val="multilevel"/>
    <w:tmpl w:val="7A817183"/>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chineseCountingThousand"/>
      <w:lvlText w:val="%3、"/>
      <w:lvlJc w:val="left"/>
      <w:pPr>
        <w:ind w:left="1260" w:hanging="420"/>
      </w:pPr>
      <w:rPr>
        <w:rFonts w:hint="eastAsia"/>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C04"/>
    <w:rsid w:val="00006865"/>
    <w:rsid w:val="000271F4"/>
    <w:rsid w:val="000C7626"/>
    <w:rsid w:val="00103E19"/>
    <w:rsid w:val="00107A0F"/>
    <w:rsid w:val="00144855"/>
    <w:rsid w:val="00177702"/>
    <w:rsid w:val="001A2FBB"/>
    <w:rsid w:val="001A4A37"/>
    <w:rsid w:val="001B669E"/>
    <w:rsid w:val="001C3456"/>
    <w:rsid w:val="001D320C"/>
    <w:rsid w:val="001D7C2C"/>
    <w:rsid w:val="001E2C04"/>
    <w:rsid w:val="001E6C67"/>
    <w:rsid w:val="002404D7"/>
    <w:rsid w:val="00262ECE"/>
    <w:rsid w:val="00297BFC"/>
    <w:rsid w:val="002B605C"/>
    <w:rsid w:val="002C3337"/>
    <w:rsid w:val="002D4E55"/>
    <w:rsid w:val="002E1688"/>
    <w:rsid w:val="00305058"/>
    <w:rsid w:val="003378BF"/>
    <w:rsid w:val="00364AC3"/>
    <w:rsid w:val="003654CF"/>
    <w:rsid w:val="003720E9"/>
    <w:rsid w:val="00372D94"/>
    <w:rsid w:val="003A42E9"/>
    <w:rsid w:val="003D0FA1"/>
    <w:rsid w:val="003D4047"/>
    <w:rsid w:val="003E34A4"/>
    <w:rsid w:val="003F074D"/>
    <w:rsid w:val="004332A1"/>
    <w:rsid w:val="0048313D"/>
    <w:rsid w:val="00487C7E"/>
    <w:rsid w:val="004F5B90"/>
    <w:rsid w:val="00504E5D"/>
    <w:rsid w:val="00513E70"/>
    <w:rsid w:val="0053112D"/>
    <w:rsid w:val="00532FB3"/>
    <w:rsid w:val="005700F2"/>
    <w:rsid w:val="005D3BF5"/>
    <w:rsid w:val="00605DFD"/>
    <w:rsid w:val="0061027A"/>
    <w:rsid w:val="00652E82"/>
    <w:rsid w:val="00664D2B"/>
    <w:rsid w:val="0069274B"/>
    <w:rsid w:val="0069413E"/>
    <w:rsid w:val="006E761C"/>
    <w:rsid w:val="00701C6C"/>
    <w:rsid w:val="00715E92"/>
    <w:rsid w:val="007359EB"/>
    <w:rsid w:val="0074521A"/>
    <w:rsid w:val="00757D14"/>
    <w:rsid w:val="00816A30"/>
    <w:rsid w:val="0086665E"/>
    <w:rsid w:val="00897BD2"/>
    <w:rsid w:val="008B1051"/>
    <w:rsid w:val="00910536"/>
    <w:rsid w:val="00985F8C"/>
    <w:rsid w:val="00993DB0"/>
    <w:rsid w:val="009C7362"/>
    <w:rsid w:val="009E77A8"/>
    <w:rsid w:val="009E7E8A"/>
    <w:rsid w:val="00A10E6F"/>
    <w:rsid w:val="00A42FE3"/>
    <w:rsid w:val="00A45195"/>
    <w:rsid w:val="00A569B2"/>
    <w:rsid w:val="00A62F3A"/>
    <w:rsid w:val="00A633F6"/>
    <w:rsid w:val="00AB2AD4"/>
    <w:rsid w:val="00AF529E"/>
    <w:rsid w:val="00B23D3A"/>
    <w:rsid w:val="00B76080"/>
    <w:rsid w:val="00B835A8"/>
    <w:rsid w:val="00BE1118"/>
    <w:rsid w:val="00C30630"/>
    <w:rsid w:val="00C8154E"/>
    <w:rsid w:val="00C91BF6"/>
    <w:rsid w:val="00C95DB5"/>
    <w:rsid w:val="00CB5E1E"/>
    <w:rsid w:val="00CD5DF3"/>
    <w:rsid w:val="00D37E2B"/>
    <w:rsid w:val="00D86404"/>
    <w:rsid w:val="00DF2BD5"/>
    <w:rsid w:val="00E106F6"/>
    <w:rsid w:val="00E30154"/>
    <w:rsid w:val="00E9474B"/>
    <w:rsid w:val="00EE1DA7"/>
    <w:rsid w:val="00EF0C5F"/>
    <w:rsid w:val="00EF0E11"/>
    <w:rsid w:val="00F725E8"/>
    <w:rsid w:val="00F84533"/>
    <w:rsid w:val="00FB3DBD"/>
    <w:rsid w:val="09351649"/>
    <w:rsid w:val="15AC7410"/>
    <w:rsid w:val="727054A3"/>
    <w:rsid w:val="7E2A13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7"/>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5"/>
    <w:link w:val="3"/>
    <w:qFormat/>
    <w:uiPriority w:val="99"/>
    <w:rPr>
      <w:sz w:val="18"/>
      <w:szCs w:val="18"/>
    </w:rPr>
  </w:style>
  <w:style w:type="paragraph" w:styleId="8">
    <w:name w:val="List Paragraph"/>
    <w:basedOn w:val="1"/>
    <w:qFormat/>
    <w:uiPriority w:val="34"/>
    <w:pPr>
      <w:ind w:firstLine="420" w:firstLineChars="200"/>
    </w:pPr>
  </w:style>
  <w:style w:type="character" w:customStyle="1" w:styleId="9">
    <w:name w:val="批注框文本 Char"/>
    <w:basedOn w:val="5"/>
    <w:link w:val="2"/>
    <w:semiHidden/>
    <w:qFormat/>
    <w:uiPriority w:val="99"/>
    <w:rPr>
      <w:sz w:val="18"/>
      <w:szCs w:val="18"/>
    </w:rPr>
  </w:style>
  <w:style w:type="character" w:customStyle="1" w:styleId="10">
    <w:name w:val="页眉 Char"/>
    <w:basedOn w:val="5"/>
    <w:link w:val="4"/>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65F9CB-9C3D-46B8-8D31-162337E9574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565</Words>
  <Characters>3224</Characters>
  <Lines>26</Lines>
  <Paragraphs>7</Paragraphs>
  <TotalTime>0</TotalTime>
  <ScaleCrop>false</ScaleCrop>
  <LinksUpToDate>false</LinksUpToDate>
  <CharactersWithSpaces>3782</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2018-09-12T01:13:00Z</dcterms:created>
  <dc:creator>Gu</dc:creator>
  <cp:lastModifiedBy>彭真</cp:lastModifiedBy>
  <cp:lastPrinted>2018-08-23T09:11:00Z</cp:lastPrinted>
  <dcterms:modified xsi:type="dcterms:W3CDTF">2018-11-28T02:17:27Z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