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81" w:line="560" w:lineRule="exact"/>
        <w:jc w:val="center"/>
        <w:rPr>
          <w:rFonts w:hint="eastAsia" w:ascii="方正小标宋简体" w:eastAsia="方正小标宋简体"/>
          <w:b w:val="0"/>
          <w:sz w:val="44"/>
        </w:rPr>
      </w:pPr>
      <w:r>
        <w:rPr>
          <w:rFonts w:hint="eastAsia" w:ascii="方正小标宋简体" w:eastAsia="方正小标宋简体"/>
          <w:b w:val="0"/>
          <w:sz w:val="44"/>
        </w:rPr>
        <w:t>深圳市科技创新券管理办法</w:t>
      </w:r>
    </w:p>
    <w:p>
      <w:pPr>
        <w:pStyle w:val="2"/>
        <w:spacing w:before="381" w:line="560" w:lineRule="exact"/>
        <w:jc w:val="center"/>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eastAsia="zh-CN"/>
        </w:rPr>
        <w:t>（征求意见稿）</w:t>
      </w:r>
    </w:p>
    <w:p>
      <w:pPr>
        <w:spacing w:before="190" w:beforeLines="50" w:after="190" w:afterLines="50" w:line="560" w:lineRule="exact"/>
        <w:ind w:firstLine="0" w:firstLineChars="0"/>
        <w:contextualSpacing/>
        <w:jc w:val="center"/>
        <w:rPr>
          <w:rFonts w:ascii="仿宋_GB2312" w:hAnsi="Times New Roman" w:eastAsia="仿宋_GB2312"/>
          <w:b/>
          <w:sz w:val="32"/>
          <w:szCs w:val="32"/>
        </w:rPr>
      </w:pPr>
      <w:bookmarkStart w:id="0" w:name="_GoBack"/>
      <w:bookmarkEnd w:id="0"/>
      <w:r>
        <w:rPr>
          <w:rFonts w:hint="eastAsia" w:ascii="仿宋_GB2312" w:hAnsi="Times New Roman" w:eastAsia="仿宋_GB2312"/>
          <w:b/>
          <w:sz w:val="32"/>
          <w:szCs w:val="32"/>
        </w:rPr>
        <w:t>第一章</w:t>
      </w:r>
      <w:r>
        <w:rPr>
          <w:rFonts w:ascii="仿宋_GB2312" w:hAnsi="Times New Roman" w:eastAsia="仿宋_GB2312"/>
          <w:b/>
          <w:sz w:val="32"/>
          <w:szCs w:val="32"/>
        </w:rPr>
        <w:t xml:space="preserve"> 总则</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为贯彻落实</w:t>
      </w:r>
      <w:r>
        <w:rPr>
          <w:rFonts w:hint="eastAsia" w:ascii="仿宋_GB2312" w:hAnsi="仿宋_GB2312" w:eastAsia="仿宋_GB2312"/>
          <w:sz w:val="32"/>
        </w:rPr>
        <w:t>《国务院关于加快科技服务业发展的若干意见</w:t>
      </w:r>
      <w:r>
        <w:rPr>
          <w:rFonts w:ascii="仿宋_GB2312" w:hAnsi="仿宋_GB2312" w:eastAsia="仿宋_GB2312"/>
          <w:sz w:val="32"/>
        </w:rPr>
        <w:t xml:space="preserve"> </w:t>
      </w:r>
      <w:r>
        <w:rPr>
          <w:rFonts w:hint="eastAsia" w:ascii="仿宋_GB2312" w:hAnsi="仿宋_GB2312" w:eastAsia="仿宋_GB2312"/>
          <w:sz w:val="32"/>
        </w:rPr>
        <w:t>》国发〔</w:t>
      </w:r>
      <w:r>
        <w:rPr>
          <w:rFonts w:ascii="仿宋_GB2312" w:hAnsi="仿宋_GB2312" w:eastAsia="仿宋_GB2312"/>
          <w:sz w:val="32"/>
        </w:rPr>
        <w:t>2014</w:t>
      </w:r>
      <w:r>
        <w:rPr>
          <w:rFonts w:hint="eastAsia" w:ascii="仿宋_GB2312" w:hAnsi="仿宋_GB2312" w:eastAsia="仿宋_GB2312"/>
          <w:sz w:val="32"/>
        </w:rPr>
        <w:t>〕</w:t>
      </w:r>
      <w:r>
        <w:rPr>
          <w:rFonts w:ascii="仿宋_GB2312" w:hAnsi="仿宋_GB2312" w:eastAsia="仿宋_GB2312"/>
          <w:sz w:val="32"/>
        </w:rPr>
        <w:t>49</w:t>
      </w:r>
      <w:r>
        <w:rPr>
          <w:rFonts w:hint="eastAsia" w:ascii="仿宋_GB2312" w:hAnsi="仿宋_GB2312" w:eastAsia="仿宋_GB2312"/>
          <w:sz w:val="32"/>
        </w:rPr>
        <w:t>号）</w:t>
      </w:r>
      <w:r>
        <w:rPr>
          <w:rFonts w:hint="eastAsia" w:ascii="仿宋_GB2312" w:eastAsia="仿宋_GB2312"/>
          <w:sz w:val="32"/>
          <w:szCs w:val="32"/>
        </w:rPr>
        <w:t>、《国务院关于大力推进大众创业万众创新若干政策措施的意见》（国发</w:t>
      </w:r>
      <w:r>
        <w:rPr>
          <w:rFonts w:hint="eastAsia" w:cs="宋体"/>
          <w:sz w:val="32"/>
          <w:szCs w:val="32"/>
        </w:rPr>
        <w:t>﹝</w:t>
      </w:r>
      <w:r>
        <w:rPr>
          <w:rFonts w:hint="eastAsia" w:ascii="仿宋_GB2312" w:eastAsia="仿宋_GB2312"/>
          <w:sz w:val="32"/>
          <w:szCs w:val="32"/>
        </w:rPr>
        <w:t>2015</w:t>
      </w:r>
      <w:r>
        <w:rPr>
          <w:rFonts w:hint="eastAsia" w:cs="宋体"/>
          <w:sz w:val="32"/>
          <w:szCs w:val="32"/>
        </w:rPr>
        <w:t>﹞</w:t>
      </w:r>
      <w:r>
        <w:rPr>
          <w:rFonts w:hint="eastAsia" w:ascii="仿宋_GB2312" w:eastAsia="仿宋_GB2312"/>
          <w:sz w:val="32"/>
          <w:szCs w:val="32"/>
        </w:rPr>
        <w:t>32号）、</w:t>
      </w:r>
      <w:r>
        <w:rPr>
          <w:rFonts w:hint="eastAsia" w:ascii="仿宋_GB2312" w:hAnsi="Times New Roman" w:eastAsia="仿宋_GB2312"/>
          <w:sz w:val="32"/>
          <w:szCs w:val="32"/>
        </w:rPr>
        <w:t>《广东省人民政府关于加快科技创新的若干政策意见》（粤府〔2015〕1号）精神，完善</w:t>
      </w:r>
      <w:r>
        <w:rPr>
          <w:rFonts w:ascii="仿宋_GB2312" w:hAnsi="Times New Roman" w:eastAsia="仿宋_GB2312"/>
          <w:sz w:val="32"/>
          <w:szCs w:val="32"/>
        </w:rPr>
        <w:t>综合创新生态体系</w:t>
      </w:r>
      <w:r>
        <w:rPr>
          <w:rFonts w:hint="eastAsia" w:ascii="仿宋_GB2312" w:hAnsi="Times New Roman" w:eastAsia="仿宋_GB2312"/>
          <w:sz w:val="32"/>
          <w:szCs w:val="32"/>
        </w:rPr>
        <w:t>，加快建设现代化国际化创新型城市，制定本办法。</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本办法所称科技创新券是指利用财政资金支持中小微企业和创客向服务机构购买科技服务而发放的配额，实际资助金额以创新券兑现金额为准。</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本办法所称服务机构是指提供科技服务的企业、高等院校、科研机构和科技服务机构等。</w:t>
      </w:r>
    </w:p>
    <w:p>
      <w:pPr>
        <w:spacing w:line="560" w:lineRule="exact"/>
        <w:ind w:firstLine="640"/>
        <w:rPr>
          <w:rFonts w:ascii="仿宋_GB2312" w:hAnsi="Times New Roman" w:eastAsia="仿宋_GB2312"/>
          <w:b/>
          <w:sz w:val="32"/>
          <w:szCs w:val="32"/>
        </w:rPr>
      </w:pPr>
      <w:r>
        <w:rPr>
          <w:rFonts w:hint="eastAsia" w:ascii="仿宋_GB2312" w:hAnsi="Times New Roman" w:eastAsia="仿宋_GB2312"/>
          <w:sz w:val="32"/>
          <w:szCs w:val="32"/>
        </w:rPr>
        <w:t>市科技部门建设服务机构库，服务机构可以向市科技部门申请入库，接受科技创新券，提供相应的科技服务并向科技部门申请兑现。</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科技创新券适用范围包括：研究开发服务、技术转移服务、检验检测认证服务、知识产权服务、国家高新技术企业认定服务等科技创新服务。</w:t>
      </w:r>
    </w:p>
    <w:p>
      <w:pPr>
        <w:spacing w:before="190" w:beforeLines="50" w:after="190" w:afterLines="50" w:line="560" w:lineRule="exact"/>
        <w:ind w:firstLine="0" w:firstLineChars="0"/>
        <w:contextualSpacing/>
        <w:jc w:val="center"/>
        <w:rPr>
          <w:rFonts w:ascii="仿宋_GB2312" w:hAnsi="Times New Roman" w:eastAsia="仿宋_GB2312"/>
          <w:b/>
          <w:sz w:val="32"/>
          <w:szCs w:val="32"/>
        </w:rPr>
      </w:pPr>
      <w:r>
        <w:rPr>
          <w:rFonts w:hint="eastAsia" w:ascii="仿宋_GB2312" w:hAnsi="Times New Roman" w:eastAsia="仿宋_GB2312"/>
          <w:b/>
          <w:sz w:val="32"/>
          <w:szCs w:val="32"/>
        </w:rPr>
        <w:t>第二章 管理机构及职责</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市科技部门、市财政部门负责我市科技创新券的政策制定、组织领导、核实监督，研究确定实施过程中的有关重大事项。</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市科技部门负责科技创新券制度的设计、日常管理，编制年度经费预算，研究确定年度工作计划，审核创新券申请、服务机构入库和创新券兑现。</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市财政部门负责核实科技创新券经费安排计划、审核核实创新券兑现及资金下达。</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市科技部门应建立健全科技创新券申请、受理、审核、评估的内部监控机制，每年应采用定期检查、不定期抽查或委托专业评审机构等方式对科技创新券的申请、使用和兑现等情况进行督促检查或绩效评估，并将各方有关科技创新券申请、使用、兑现情况纳入诚信管理体系。</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市科技部门在开展科技创新券核发工作中，存在受贿、玩忽职守、弄虚作假的，依法追究其行政责任；构成犯罪的，移送司法机关依法处理。</w:t>
      </w:r>
    </w:p>
    <w:p>
      <w:pPr>
        <w:spacing w:before="190" w:beforeLines="50" w:after="190" w:afterLines="50" w:line="560" w:lineRule="exact"/>
        <w:ind w:firstLine="0" w:firstLineChars="0"/>
        <w:contextualSpacing/>
        <w:jc w:val="center"/>
        <w:rPr>
          <w:rFonts w:ascii="仿宋_GB2312" w:hAnsi="Times New Roman" w:eastAsia="仿宋_GB2312"/>
          <w:b/>
          <w:sz w:val="32"/>
          <w:szCs w:val="32"/>
        </w:rPr>
      </w:pPr>
      <w:r>
        <w:rPr>
          <w:rFonts w:hint="eastAsia" w:ascii="仿宋_GB2312" w:hAnsi="Times New Roman" w:eastAsia="仿宋_GB2312"/>
          <w:b/>
          <w:sz w:val="32"/>
          <w:szCs w:val="32"/>
        </w:rPr>
        <w:t>第三章 创新券申请</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ascii="仿宋_GB2312" w:hAnsi="Times New Roman" w:eastAsia="仿宋_GB2312"/>
          <w:sz w:val="32"/>
          <w:szCs w:val="32"/>
        </w:rPr>
        <w:t xml:space="preserve"> 科技创新券</w:t>
      </w:r>
      <w:r>
        <w:rPr>
          <w:rFonts w:hint="eastAsia" w:ascii="仿宋_GB2312" w:hAnsi="Times New Roman" w:eastAsia="仿宋_GB2312"/>
          <w:sz w:val="32"/>
          <w:szCs w:val="32"/>
        </w:rPr>
        <w:t>申请支持</w:t>
      </w:r>
      <w:r>
        <w:rPr>
          <w:rFonts w:ascii="仿宋_GB2312" w:hAnsi="Times New Roman" w:eastAsia="仿宋_GB2312"/>
          <w:sz w:val="32"/>
          <w:szCs w:val="32"/>
        </w:rPr>
        <w:t>对象为：</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（一）科技型中小微企业：在深圳市</w:t>
      </w:r>
      <w:r>
        <w:rPr>
          <w:rFonts w:hint="eastAsia" w:ascii="仿宋_GB2312" w:hAnsi="仿宋" w:eastAsia="仿宋_GB2312"/>
          <w:sz w:val="32"/>
          <w:szCs w:val="32"/>
        </w:rPr>
        <w:t>或深汕合作区内依法注册、</w:t>
      </w:r>
      <w:r>
        <w:rPr>
          <w:rFonts w:hint="eastAsia" w:ascii="仿宋_GB2312" w:hAnsi="Times New Roman" w:eastAsia="仿宋_GB2312"/>
          <w:sz w:val="32"/>
          <w:szCs w:val="32"/>
        </w:rPr>
        <w:t>具有独立法人资格，中小微企业划定标准详见《中小企业划型标准规定》（工信部联企业﹝</w:t>
      </w:r>
      <w:r>
        <w:rPr>
          <w:rFonts w:ascii="仿宋_GB2312" w:hAnsi="Times New Roman" w:eastAsia="仿宋_GB2312"/>
          <w:sz w:val="32"/>
          <w:szCs w:val="32"/>
        </w:rPr>
        <w:t>2011﹞300号）</w:t>
      </w:r>
      <w:r>
        <w:rPr>
          <w:rFonts w:hint="eastAsia" w:ascii="仿宋_GB2312" w:hAnsi="Times New Roman" w:eastAsia="仿宋_GB2312"/>
          <w:sz w:val="32"/>
          <w:szCs w:val="32"/>
        </w:rPr>
        <w:t>。</w:t>
      </w:r>
    </w:p>
    <w:p>
      <w:pPr>
        <w:spacing w:line="560" w:lineRule="exact"/>
        <w:ind w:firstLine="640"/>
        <w:contextualSpacing/>
        <w:rPr>
          <w:rFonts w:ascii="仿宋_GB2312" w:hAnsi="仿宋_GB2312" w:eastAsia="仿宋_GB2312"/>
          <w:sz w:val="32"/>
        </w:rPr>
      </w:pPr>
      <w:r>
        <w:rPr>
          <w:rFonts w:hint="eastAsia" w:ascii="仿宋_GB2312" w:hAnsi="仿宋_GB2312" w:eastAsia="仿宋_GB2312"/>
          <w:sz w:val="32"/>
        </w:rPr>
        <w:t>（二）创客：依托国家备案的众创空间开展创新创业活动的创客个人和创客团队。</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创新券申请人应当符合下列条件：</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（一）无诚信异常记录；</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（二）开展自主研发活动；</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（三）购买的科技服务应与开展的研发活动有直接相关性；</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（四）申请人为企业的，上年度研发费用支出不得为零；</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（五）上年度创新券应无剩余额度。</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中型企业、小型企业、微型企业、创客个人每年申领额度上限分别为20万元、10万元、5万元、2万元。</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科技创新券申请包括以下程序：</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（一）市科技部门发布创新券申请指南；</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（二）申请人按照申请指南要求向市科技部门提交申请；</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（三）市科技部门自行或委托专业机构审核；</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（四）市科技部门按程序审定发放标准，拟定下达名单；</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（五）市科技部门向社会公示科技创新券下达额度；</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（六）市科技部门下达科技创新券额度。</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w:t>
      </w:r>
      <w:r>
        <w:rPr>
          <w:rFonts w:ascii="仿宋_GB2312" w:hAnsi="Times New Roman" w:eastAsia="仿宋_GB2312"/>
          <w:sz w:val="32"/>
          <w:szCs w:val="32"/>
        </w:rPr>
        <w:t>申请人应当向市科技部门提交以下材料：</w:t>
      </w:r>
      <w:r>
        <w:rPr>
          <w:rFonts w:hint="eastAsia" w:ascii="仿宋_GB2312" w:hAnsi="Times New Roman" w:eastAsia="仿宋_GB2312"/>
          <w:sz w:val="32"/>
          <w:szCs w:val="32"/>
        </w:rPr>
        <w:t>（申请人为创客的，是指依托单位相关资料）</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（一）科技创新券申请书</w:t>
      </w:r>
      <w:r>
        <w:rPr>
          <w:rFonts w:ascii="仿宋_GB2312" w:hAnsi="Times New Roman" w:eastAsia="仿宋_GB2312"/>
          <w:sz w:val="32"/>
          <w:szCs w:val="32"/>
        </w:rPr>
        <w:t>；</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（二）统一社会信用代码的营业执照复印件；</w:t>
      </w:r>
      <w:r>
        <w:rPr>
          <w:rFonts w:ascii="仿宋_GB2312" w:hAnsi="Times New Roman" w:eastAsia="仿宋_GB2312"/>
          <w:sz w:val="32"/>
          <w:szCs w:val="32"/>
        </w:rPr>
        <w:t xml:space="preserve"> </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（三）法人代表身份证复印件；</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（四）上年度完税证明；</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（五）上年度财务审计报告（注册未满一年的可提供验资报告）；</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（五）申请指南里规定的其他材料。</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科技创新券实行无凭证配额制度，从下达之日起有效期二年。科技创新券不得转让、买卖，不得重复使用。</w:t>
      </w:r>
    </w:p>
    <w:p>
      <w:pPr>
        <w:spacing w:before="190" w:beforeLines="50" w:after="190" w:afterLines="50" w:line="560" w:lineRule="exact"/>
        <w:ind w:firstLine="0" w:firstLineChars="0"/>
        <w:contextualSpacing/>
        <w:jc w:val="center"/>
        <w:rPr>
          <w:rFonts w:ascii="仿宋_GB2312" w:hAnsi="Times New Roman" w:eastAsia="仿宋_GB2312"/>
          <w:b/>
          <w:sz w:val="32"/>
          <w:szCs w:val="32"/>
        </w:rPr>
      </w:pPr>
      <w:r>
        <w:rPr>
          <w:rFonts w:hint="eastAsia" w:ascii="仿宋_GB2312" w:hAnsi="Times New Roman" w:eastAsia="仿宋_GB2312"/>
          <w:b/>
          <w:sz w:val="32"/>
          <w:szCs w:val="32"/>
        </w:rPr>
        <w:t>第四章 服务机构入库</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服务机构申请入库应当符合以下条件：</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w:t>
      </w:r>
      <w:r>
        <w:rPr>
          <w:rFonts w:hint="eastAsia" w:ascii="仿宋_GB2312" w:hAnsi="Times New Roman" w:eastAsia="仿宋_GB2312"/>
          <w:sz w:val="32"/>
          <w:szCs w:val="32"/>
          <w:u w:val="none"/>
        </w:rPr>
        <w:t>申请单位应当是在深圳市</w:t>
      </w:r>
      <w:r>
        <w:rPr>
          <w:rFonts w:hint="eastAsia" w:ascii="仿宋_GB2312" w:hAnsi="仿宋" w:eastAsia="仿宋_GB2312"/>
          <w:sz w:val="32"/>
          <w:szCs w:val="32"/>
          <w:u w:val="none"/>
        </w:rPr>
        <w:t>或深汕合作区内</w:t>
      </w:r>
      <w:r>
        <w:rPr>
          <w:rFonts w:hint="eastAsia" w:ascii="仿宋_GB2312" w:hAnsi="Times New Roman" w:eastAsia="仿宋_GB2312"/>
          <w:sz w:val="32"/>
          <w:szCs w:val="32"/>
          <w:u w:val="none"/>
        </w:rPr>
        <w:t>依法注册、</w:t>
      </w:r>
      <w:r>
        <w:rPr>
          <w:rFonts w:hint="eastAsia" w:ascii="仿宋_GB2312" w:hAnsi="Times New Roman" w:eastAsia="仿宋_GB2312"/>
          <w:sz w:val="32"/>
          <w:szCs w:val="32"/>
        </w:rPr>
        <w:t>具有独立法人资格的服务机构；</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（二）申请单位应当具备科技服务能力，有一定数量的专职人员，并具有从事相关科技服务一年以上的业务基础；</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（三）各类服务机构应具备相应的科技服务资质，具体要求以当年发布的《创新券服务机构入库申请指南》为准；</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（四）事业单位所提供的科技服务收费应按相关财务制度和收费管理规定执行；</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服务机构申请入库包括以下程序：</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（一）市科技部门发布服务机构入库申请指南；</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（二）申请单位按照入库申请指南要求向市科技部门提交申请；</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（三）市科技部门自行或委托专业机构组织专家评审；</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（四）市科技部门按程序审核并确定拟入库服务机构名单；</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（六）市科技部门向社会公示入库服务机构；</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（七）市科技部门</w:t>
      </w:r>
      <w:r>
        <w:rPr>
          <w:rFonts w:hint="eastAsia" w:ascii="仿宋_GB2312" w:hAnsi="Times New Roman" w:eastAsia="仿宋_GB2312"/>
          <w:color w:val="000000"/>
          <w:sz w:val="32"/>
          <w:szCs w:val="32"/>
        </w:rPr>
        <w:t>下达入库通知书。</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申请创新券服务机构入库需提供以下材料：</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（一）创新券服务机构入库申请书；</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（二）服务内容及收费标准一览表；</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（三）相关科技服务资质证明材料；</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（四）统一社会信用代码的营业执照复印件；</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（五）法人代表身份证复印件；</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（六）上年度完税证明；</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（七）上年度财务审计报告；</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（八）申请指南规定的其他材料。</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服务机构有效期三年，服务机构需要新增服务内容的，可提出新增服务申请，新增服务有效期与服务机构有效期一致。</w:t>
      </w:r>
    </w:p>
    <w:p>
      <w:pPr>
        <w:spacing w:before="190" w:beforeLines="50" w:after="190" w:afterLines="50" w:line="560" w:lineRule="exact"/>
        <w:ind w:firstLine="0" w:firstLineChars="0"/>
        <w:contextualSpacing/>
        <w:jc w:val="center"/>
        <w:rPr>
          <w:rFonts w:ascii="仿宋_GB2312" w:hAnsi="Times New Roman" w:eastAsia="仿宋_GB2312"/>
          <w:b/>
          <w:sz w:val="32"/>
          <w:szCs w:val="32"/>
        </w:rPr>
      </w:pPr>
      <w:r>
        <w:rPr>
          <w:rFonts w:hint="eastAsia" w:ascii="仿宋_GB2312" w:hAnsi="Times New Roman" w:eastAsia="仿宋_GB2312"/>
          <w:b/>
          <w:sz w:val="32"/>
          <w:szCs w:val="32"/>
        </w:rPr>
        <w:t>第五章 使用与兑现</w:t>
      </w:r>
    </w:p>
    <w:p>
      <w:pPr>
        <w:pStyle w:val="64"/>
        <w:numPr>
          <w:ilvl w:val="0"/>
          <w:numId w:val="1"/>
        </w:numPr>
        <w:spacing w:line="560" w:lineRule="exact"/>
        <w:ind w:left="0" w:firstLine="640" w:firstLineChars="0"/>
        <w:contextualSpacing/>
        <w:rPr>
          <w:rFonts w:ascii="仿宋_GB2312" w:hAnsi="Times New Roman" w:eastAsia="仿宋_GB2312"/>
          <w:sz w:val="32"/>
          <w:szCs w:val="32"/>
        </w:rPr>
      </w:pPr>
      <w:r>
        <w:rPr>
          <w:rFonts w:hint="eastAsia" w:ascii="仿宋_GB2312" w:hAnsi="Times New Roman" w:eastAsia="仿宋_GB2312"/>
          <w:sz w:val="32"/>
          <w:szCs w:val="32"/>
        </w:rPr>
        <w:t xml:space="preserve"> 创新券持有人只能向入库的服务机构购买科技服务。创新券服务交易双方应利用科技业务系统上进行交易，利用业务系统选取服务机构和创新服务内容、登记交易记录、上传服务协议（合同）和付费发票以及创新券的支付和收取。</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服务交易双方应无任何投资与被投资，隶属、共建、产权纽带等影响公平公正市场交易的关联关系。</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科技创新券应由服务机构在完成服务事项后，按兑现申请指南要求向市科技部门申请兑现。</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创新券兑现条件：</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（一）创新券兑现金额不高于单项服务合同金额的5</w:t>
      </w:r>
      <w:r>
        <w:rPr>
          <w:rFonts w:ascii="仿宋_GB2312" w:hAnsi="Times New Roman" w:eastAsia="仿宋_GB2312"/>
          <w:sz w:val="32"/>
          <w:szCs w:val="32"/>
        </w:rPr>
        <w:t>0%</w:t>
      </w:r>
      <w:r>
        <w:rPr>
          <w:rFonts w:hint="eastAsia" w:ascii="仿宋_GB2312" w:hAnsi="Times New Roman" w:eastAsia="仿宋_GB2312"/>
          <w:sz w:val="32"/>
          <w:szCs w:val="32"/>
        </w:rPr>
        <w:t>；</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（二）有完备的创新券交易凭证和科技服务的证明材料；</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（三）科技业务系统中登记的服务事项。</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对已获得市级财政资金的项目，科技创新券不重复支持。</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科技创新券兑现包括以下程序：</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（一）市科技部门发布科技创新券兑现申请指南；</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（二）服务机构按照指南要求向市科技部门提交申请；</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（三）市科技部门初审；</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（四）市科技部门自行组织专家评审或委托审计；</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（五）市科技部门会同市财政部门审核，提出拟兑现名单；</w:t>
      </w:r>
    </w:p>
    <w:p>
      <w:pPr>
        <w:spacing w:line="560" w:lineRule="exact"/>
        <w:ind w:firstLine="640"/>
        <w:rPr>
          <w:ins w:id="0" w:author="张娅琳" w:date="2018-05-29T11:00:00Z"/>
          <w:rFonts w:ascii="仿宋_GB2312" w:hAnsi="Times New Roman" w:eastAsia="仿宋_GB2312"/>
          <w:sz w:val="32"/>
          <w:szCs w:val="32"/>
        </w:rPr>
      </w:pPr>
      <w:r>
        <w:rPr>
          <w:rFonts w:hint="eastAsia" w:ascii="仿宋_GB2312" w:hAnsi="Times New Roman" w:eastAsia="仿宋_GB2312"/>
          <w:sz w:val="32"/>
          <w:szCs w:val="32"/>
        </w:rPr>
        <w:t>（六）市科技部门向社会公示兑现的服务机构及金额；</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（七）</w:t>
      </w:r>
      <w:r>
        <w:rPr>
          <w:rFonts w:hint="eastAsia" w:ascii="仿宋_GB2312" w:hAnsi="Calibri" w:eastAsia="仿宋_GB2312" w:cs="Calibri"/>
          <w:kern w:val="0"/>
          <w:sz w:val="32"/>
          <w:szCs w:val="23"/>
        </w:rPr>
        <w:t>公示期满无异议或</w:t>
      </w:r>
      <w:r>
        <w:rPr>
          <w:rFonts w:hint="eastAsia" w:ascii="仿宋_GB2312" w:hAnsi="Times New Roman" w:eastAsia="仿宋_GB2312"/>
          <w:sz w:val="32"/>
          <w:szCs w:val="32"/>
        </w:rPr>
        <w:t>经调查</w:t>
      </w:r>
      <w:r>
        <w:rPr>
          <w:rFonts w:hint="eastAsia" w:ascii="仿宋_GB2312" w:hAnsi="Calibri" w:eastAsia="仿宋_GB2312" w:cs="Calibri"/>
          <w:kern w:val="0"/>
          <w:sz w:val="32"/>
          <w:szCs w:val="23"/>
        </w:rPr>
        <w:t>异议不成立的，</w:t>
      </w:r>
      <w:r>
        <w:rPr>
          <w:rFonts w:hint="eastAsia" w:ascii="仿宋_GB2312" w:hAnsi="Times New Roman" w:eastAsia="仿宋_GB2312"/>
          <w:sz w:val="32"/>
          <w:szCs w:val="32"/>
        </w:rPr>
        <w:t>市科技部门会同市财政部门联合下达科技创新券兑现通知，兑现科技创新券。</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创新券兑现需提交以下材料：</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（一）创新券兑现申请书；</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（二）科技服务交易合同；</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（三）与科技服务合同对应的有关财务证明（发票）；</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（四）完成科技服务的证明材料；</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（五）统一社会信用代码的营业执照复印件；</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（六）法人代表身份证复印件；</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（七）上年度完税证明；</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（八）上年度财务审计报告；</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（九）兑现申请指南要求的其他材料。</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市科技部门向社会公示期限为</w:t>
      </w:r>
      <w:r>
        <w:rPr>
          <w:rFonts w:ascii="仿宋_GB2312" w:hAnsi="Times New Roman" w:eastAsia="仿宋_GB2312"/>
          <w:sz w:val="32"/>
          <w:szCs w:val="32"/>
        </w:rPr>
        <w:t>10天，接受社会监督和意见反馈。</w:t>
      </w:r>
      <w:r>
        <w:rPr>
          <w:rFonts w:hint="eastAsia" w:ascii="仿宋_GB2312" w:hAnsi="Times New Roman" w:eastAsia="仿宋_GB2312"/>
          <w:sz w:val="32"/>
          <w:szCs w:val="32"/>
        </w:rPr>
        <w:t>公示期间</w:t>
      </w:r>
      <w:r>
        <w:rPr>
          <w:rFonts w:ascii="仿宋_GB2312" w:hAnsi="Times New Roman" w:eastAsia="仿宋_GB2312"/>
          <w:sz w:val="32"/>
          <w:szCs w:val="32"/>
        </w:rPr>
        <w:t>有异议的项目</w:t>
      </w:r>
      <w:r>
        <w:rPr>
          <w:rFonts w:hint="eastAsia" w:ascii="仿宋_GB2312" w:hAnsi="Times New Roman" w:eastAsia="仿宋_GB2312"/>
          <w:sz w:val="32"/>
          <w:szCs w:val="32"/>
        </w:rPr>
        <w:t>或单位</w:t>
      </w:r>
      <w:r>
        <w:rPr>
          <w:rFonts w:ascii="仿宋_GB2312" w:hAnsi="Times New Roman" w:eastAsia="仿宋_GB2312"/>
          <w:sz w:val="32"/>
          <w:szCs w:val="32"/>
        </w:rPr>
        <w:t>，经调查属实并需调整的，由市科技部门与市财政部门</w:t>
      </w:r>
      <w:r>
        <w:rPr>
          <w:rFonts w:hint="eastAsia" w:ascii="仿宋_GB2312" w:hAnsi="Times New Roman" w:eastAsia="仿宋_GB2312"/>
          <w:sz w:val="32"/>
          <w:szCs w:val="32"/>
        </w:rPr>
        <w:t>组织专家</w:t>
      </w:r>
      <w:r>
        <w:rPr>
          <w:rFonts w:ascii="仿宋_GB2312" w:hAnsi="Times New Roman" w:eastAsia="仿宋_GB2312"/>
          <w:sz w:val="32"/>
          <w:szCs w:val="32"/>
        </w:rPr>
        <w:t>重新审定。</w:t>
      </w:r>
    </w:p>
    <w:p>
      <w:pPr>
        <w:spacing w:before="190" w:beforeLines="50" w:after="190" w:afterLines="50" w:line="560" w:lineRule="exact"/>
        <w:ind w:firstLine="0" w:firstLineChars="0"/>
        <w:contextualSpacing/>
        <w:jc w:val="center"/>
        <w:rPr>
          <w:rFonts w:ascii="仿宋_GB2312" w:hAnsi="Times New Roman" w:eastAsia="仿宋_GB2312"/>
          <w:b/>
          <w:sz w:val="32"/>
          <w:szCs w:val="32"/>
        </w:rPr>
      </w:pPr>
      <w:r>
        <w:rPr>
          <w:rFonts w:hint="eastAsia" w:ascii="仿宋_GB2312" w:hAnsi="Times New Roman" w:eastAsia="仿宋_GB2312"/>
          <w:b/>
          <w:sz w:val="32"/>
          <w:szCs w:val="32"/>
        </w:rPr>
        <w:t>第六章 监督管理</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科技型中小微企业、创客及科技创新服务机构应按照有关规定申领、使用、兑现科技创新券，严格执行财务规章制度和会计核算办法，真实合法地使用创新券，并自觉接受科技、财政、审计、监察部门的监督检查。</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市科技部门可会同市财政部门、市监察部门聘请社会监督员，加强对科技创新券的管理和监督。</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申报单位对申请材料的合法性、真实性、准确性和完整性负责。如有虚假，情节严重的，取消申报资格并依法追究相关责任。</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hint="eastAsia" w:ascii="仿宋_GB2312" w:hAnsi="Times New Roman" w:eastAsia="仿宋_GB2312"/>
          <w:sz w:val="32"/>
          <w:szCs w:val="32"/>
        </w:rPr>
        <w:t>单位或者个人有下列行为之一的，五年内不予科技创新券和科技计划资金支持，并注销其科技创新券，追回骗取资金，降低科技信用等级，市科技部门可向社会公示，并依法追究法律责任：</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（一）在申请、使用或者兑现科技创新券中提供虚假材料，骗取财政资金的；</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（二）非法挪用、侵占、冒领、截留财政资金的；</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（三）阻挠或者故意规避政府有关部门依法对项目的监督和检查，情节严重的。</w:t>
      </w:r>
    </w:p>
    <w:p>
      <w:pPr>
        <w:spacing w:line="560" w:lineRule="exact"/>
        <w:ind w:firstLine="640"/>
        <w:rPr>
          <w:rFonts w:ascii="仿宋_GB2312" w:hAnsi="Times New Roman" w:eastAsia="仿宋_GB2312"/>
          <w:sz w:val="32"/>
          <w:szCs w:val="32"/>
        </w:rPr>
      </w:pPr>
      <w:r>
        <w:rPr>
          <w:rFonts w:hint="eastAsia" w:ascii="仿宋_GB2312" w:hAnsi="Times New Roman" w:eastAsia="仿宋_GB2312"/>
          <w:sz w:val="32"/>
          <w:szCs w:val="32"/>
        </w:rPr>
        <w:t>有前款规定情形的单位法定代表人、董事、主要股东、实际控制人以及个人设立或者控股的其他单位，在申请科技计划项目时，适用前款规定处理。</w:t>
      </w:r>
    </w:p>
    <w:p>
      <w:pPr>
        <w:spacing w:before="190" w:beforeLines="50" w:after="190" w:afterLines="50" w:line="560" w:lineRule="exact"/>
        <w:ind w:firstLine="0" w:firstLineChars="0"/>
        <w:contextualSpacing/>
        <w:jc w:val="center"/>
        <w:rPr>
          <w:rFonts w:ascii="仿宋_GB2312" w:hAnsi="Times New Roman" w:eastAsia="仿宋_GB2312"/>
          <w:b/>
          <w:sz w:val="32"/>
          <w:szCs w:val="32"/>
        </w:rPr>
      </w:pPr>
      <w:r>
        <w:rPr>
          <w:rFonts w:hint="eastAsia" w:ascii="仿宋_GB2312" w:hAnsi="Times New Roman" w:eastAsia="仿宋_GB2312"/>
          <w:b/>
          <w:sz w:val="32"/>
          <w:szCs w:val="32"/>
        </w:rPr>
        <w:t>第七章 附则</w:t>
      </w:r>
    </w:p>
    <w:p>
      <w:pPr>
        <w:pStyle w:val="64"/>
        <w:numPr>
          <w:ilvl w:val="0"/>
          <w:numId w:val="1"/>
        </w:numPr>
        <w:spacing w:line="560" w:lineRule="exact"/>
        <w:ind w:left="0" w:firstLine="643" w:firstLineChars="0"/>
        <w:contextualSpacing/>
        <w:rPr>
          <w:rFonts w:ascii="仿宋_GB2312" w:hAnsi="Times New Roman" w:eastAsia="仿宋_GB2312"/>
          <w:sz w:val="32"/>
          <w:szCs w:val="32"/>
        </w:rPr>
      </w:pPr>
      <w:r>
        <w:rPr>
          <w:rFonts w:ascii="仿宋_GB2312" w:hAnsi="Times New Roman" w:eastAsia="仿宋_GB2312"/>
          <w:sz w:val="32"/>
          <w:szCs w:val="32"/>
        </w:rPr>
        <w:t>本办法自发布之日起施行，有效期</w:t>
      </w:r>
      <w:r>
        <w:rPr>
          <w:rFonts w:hint="eastAsia" w:ascii="仿宋_GB2312" w:hAnsi="Times New Roman" w:eastAsia="仿宋_GB2312"/>
          <w:sz w:val="32"/>
          <w:szCs w:val="32"/>
        </w:rPr>
        <w:t>5</w:t>
      </w:r>
      <w:r>
        <w:rPr>
          <w:rFonts w:ascii="仿宋_GB2312" w:hAnsi="Times New Roman" w:eastAsia="仿宋_GB2312"/>
          <w:sz w:val="32"/>
          <w:szCs w:val="32"/>
        </w:rPr>
        <w:t>年</w:t>
      </w:r>
      <w:r>
        <w:rPr>
          <w:rFonts w:hint="eastAsia" w:ascii="仿宋_GB2312" w:hAnsi="Times New Roman" w:eastAsia="仿宋_GB2312"/>
          <w:sz w:val="32"/>
          <w:szCs w:val="32"/>
        </w:rPr>
        <w:t>，《深圳市科技创新券实施办法（试行）》(深科技创新规〔2015〕1号)废止。</w:t>
      </w: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pStyle w:val="64"/>
        <w:widowControl w:val="0"/>
        <w:numPr>
          <w:ilvl w:val="0"/>
          <w:numId w:val="0"/>
        </w:numPr>
        <w:spacing w:line="560" w:lineRule="exact"/>
        <w:contextualSpacing/>
        <w:jc w:val="both"/>
        <w:rPr>
          <w:rFonts w:hint="eastAsia" w:ascii="仿宋_GB2312" w:hAnsi="Times New Roman" w:eastAsia="仿宋_GB2312"/>
          <w:sz w:val="32"/>
          <w:szCs w:val="32"/>
        </w:rPr>
      </w:pPr>
    </w:p>
    <w:p>
      <w:pPr>
        <w:ind w:firstLine="880" w:firstLineChars="200"/>
        <w:jc w:val="center"/>
        <w:rPr>
          <w:rFonts w:hint="eastAsia" w:ascii="方正小标宋简体" w:eastAsia="方正小标宋简体"/>
          <w:sz w:val="44"/>
          <w:szCs w:val="44"/>
        </w:rPr>
      </w:pPr>
    </w:p>
    <w:p>
      <w:pPr>
        <w:ind w:firstLine="880" w:firstLineChars="200"/>
        <w:jc w:val="center"/>
        <w:rPr>
          <w:rFonts w:ascii="方正小标宋简体" w:eastAsia="方正小标宋简体"/>
          <w:sz w:val="44"/>
          <w:szCs w:val="44"/>
        </w:rPr>
      </w:pPr>
      <w:r>
        <w:rPr>
          <w:rFonts w:hint="eastAsia" w:ascii="方正小标宋简体" w:eastAsia="方正小标宋简体"/>
          <w:sz w:val="44"/>
          <w:szCs w:val="44"/>
        </w:rPr>
        <w:t>创新券管理办法修订起草说明</w:t>
      </w: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一、修订背景及目的</w:t>
      </w:r>
    </w:p>
    <w:p>
      <w:pPr>
        <w:ind w:firstLine="640" w:firstLineChars="200"/>
        <w:rPr>
          <w:rFonts w:eastAsia="仿宋_GB2312"/>
          <w:sz w:val="32"/>
          <w:szCs w:val="32"/>
        </w:rPr>
      </w:pPr>
      <w:r>
        <w:rPr>
          <w:rFonts w:hint="eastAsia" w:ascii="仿宋_GB2312" w:eastAsia="仿宋_GB2312"/>
          <w:sz w:val="32"/>
          <w:szCs w:val="32"/>
        </w:rPr>
        <w:t>为贯彻落实《党中央国务院关于深化体制机制改革加快实施创新驱动发展战略的若干意见》（中发</w:t>
      </w:r>
      <w:r>
        <w:rPr>
          <w:rFonts w:hint="eastAsia" w:ascii="宋体" w:hAnsi="宋体" w:cs="宋体"/>
          <w:sz w:val="32"/>
          <w:szCs w:val="32"/>
        </w:rPr>
        <w:t>﹝</w:t>
      </w:r>
      <w:r>
        <w:rPr>
          <w:rFonts w:hint="eastAsia" w:ascii="仿宋_GB2312" w:eastAsia="仿宋_GB2312"/>
          <w:sz w:val="32"/>
          <w:szCs w:val="32"/>
        </w:rPr>
        <w:t>2015</w:t>
      </w:r>
      <w:r>
        <w:rPr>
          <w:rFonts w:hint="eastAsia" w:ascii="宋体" w:hAnsi="宋体" w:cs="宋体"/>
          <w:sz w:val="32"/>
          <w:szCs w:val="32"/>
        </w:rPr>
        <w:t>﹞</w:t>
      </w:r>
      <w:r>
        <w:rPr>
          <w:rFonts w:hint="eastAsia" w:ascii="仿宋_GB2312" w:eastAsia="仿宋_GB2312"/>
          <w:sz w:val="32"/>
          <w:szCs w:val="32"/>
        </w:rPr>
        <w:t>8号）、《国务院关于大力推进大众创业万众创新若干政策措施的意见》（国发</w:t>
      </w:r>
      <w:r>
        <w:rPr>
          <w:rFonts w:hint="eastAsia" w:ascii="宋体" w:hAnsi="宋体" w:cs="宋体"/>
          <w:sz w:val="32"/>
          <w:szCs w:val="32"/>
        </w:rPr>
        <w:t>﹝</w:t>
      </w:r>
      <w:r>
        <w:rPr>
          <w:rFonts w:hint="eastAsia" w:ascii="仿宋_GB2312" w:eastAsia="仿宋_GB2312"/>
          <w:sz w:val="32"/>
          <w:szCs w:val="32"/>
        </w:rPr>
        <w:t>2015</w:t>
      </w:r>
      <w:r>
        <w:rPr>
          <w:rFonts w:hint="eastAsia" w:ascii="宋体" w:hAnsi="宋体" w:cs="宋体"/>
          <w:sz w:val="32"/>
          <w:szCs w:val="32"/>
        </w:rPr>
        <w:t>﹞</w:t>
      </w:r>
      <w:r>
        <w:rPr>
          <w:rFonts w:hint="eastAsia" w:ascii="仿宋_GB2312" w:eastAsia="仿宋_GB2312"/>
          <w:sz w:val="32"/>
          <w:szCs w:val="32"/>
        </w:rPr>
        <w:t>32号）、《广东省人民政府关于加快科技创新的若干政策意见》（粤府〔</w:t>
      </w:r>
      <w:r>
        <w:rPr>
          <w:rFonts w:ascii="仿宋_GB2312" w:eastAsia="仿宋_GB2312"/>
          <w:sz w:val="32"/>
          <w:szCs w:val="32"/>
        </w:rPr>
        <w:t>2015</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号）精神，完善我市综合创新生态体系，加快建设现代化国际化创新型城市，经市政府同意，2015年9月，市科技创新委会同市财政委联合印发了</w:t>
      </w:r>
      <w:r>
        <w:rPr>
          <w:rFonts w:hint="eastAsia" w:eastAsia="仿宋_GB2312"/>
          <w:sz w:val="32"/>
          <w:szCs w:val="32"/>
        </w:rPr>
        <w:t>《深圳市科技创新券项目实施办法（试行）》（</w:t>
      </w:r>
      <w:r>
        <w:rPr>
          <w:rFonts w:hint="eastAsia" w:ascii="仿宋_GB2312" w:eastAsia="仿宋_GB2312"/>
          <w:sz w:val="32"/>
          <w:szCs w:val="32"/>
        </w:rPr>
        <w:t>深科技创新规2015〔1〕号）。</w:t>
      </w:r>
    </w:p>
    <w:p>
      <w:pPr>
        <w:ind w:firstLine="640" w:firstLineChars="200"/>
        <w:rPr>
          <w:rFonts w:ascii="仿宋_GB2312" w:eastAsia="仿宋_GB2312"/>
          <w:sz w:val="32"/>
          <w:szCs w:val="32"/>
        </w:rPr>
      </w:pPr>
      <w:r>
        <w:rPr>
          <w:rFonts w:hint="eastAsia" w:ascii="仿宋_GB2312" w:eastAsia="仿宋_GB2312"/>
          <w:sz w:val="32"/>
          <w:szCs w:val="32"/>
        </w:rPr>
        <w:t>原实施办法《深圳市科技创新券实施办法（试行）》（深科技创新规2015〔1〕号）自2015年试行以来，以普惠性、适用范围广等特点广受企业的好评。截止 2017年底，我委累计向6700多家企业发放创新券3.7亿元，兑现创新券服务事项3500多个，兑现金额6700多万元。</w:t>
      </w:r>
    </w:p>
    <w:p>
      <w:pPr>
        <w:ind w:firstLine="640" w:firstLineChars="200"/>
        <w:rPr>
          <w:rFonts w:eastAsia="仿宋_GB2312"/>
          <w:sz w:val="32"/>
          <w:szCs w:val="32"/>
        </w:rPr>
      </w:pPr>
      <w:r>
        <w:rPr>
          <w:rFonts w:hint="eastAsia" w:ascii="仿宋_GB2312" w:eastAsia="仿宋_GB2312"/>
          <w:sz w:val="32"/>
          <w:szCs w:val="32"/>
        </w:rPr>
        <w:t>在具体实施过程中，存在创新券适用范围界定不够明确、创新券申请条件限定太细、服务双方合规性约束不明确等问题。为进一步规范创新券管理，优化操作流程，结合三年来创新券实施经验，特对原办法进行修订。</w:t>
      </w:r>
    </w:p>
    <w:p>
      <w:pPr>
        <w:ind w:firstLine="640" w:firstLineChars="200"/>
        <w:rPr>
          <w:rFonts w:ascii="黑体" w:hAnsi="黑体" w:eastAsia="黑体"/>
          <w:sz w:val="32"/>
          <w:szCs w:val="32"/>
        </w:rPr>
      </w:pPr>
      <w:r>
        <w:rPr>
          <w:rFonts w:hint="eastAsia" w:ascii="黑体" w:hAnsi="黑体" w:eastAsia="黑体"/>
          <w:sz w:val="32"/>
          <w:szCs w:val="32"/>
        </w:rPr>
        <w:t>二、修订原则</w:t>
      </w:r>
    </w:p>
    <w:p>
      <w:pPr>
        <w:ind w:firstLine="640" w:firstLineChars="200"/>
        <w:rPr>
          <w:rFonts w:ascii="仿宋_GB2312" w:eastAsia="仿宋_GB2312"/>
          <w:sz w:val="32"/>
          <w:szCs w:val="32"/>
        </w:rPr>
      </w:pPr>
      <w:r>
        <w:rPr>
          <w:rFonts w:hint="eastAsia" w:ascii="仿宋_GB2312" w:eastAsia="仿宋_GB2312"/>
          <w:sz w:val="32"/>
          <w:szCs w:val="32"/>
        </w:rPr>
        <w:t>（一）设定章节，明晰结构。原实施办法不分章节共十九条，本次修订按逻辑关系分为总则、管理机构及职责、创新券申请、服务机构入库、创新券使用及兑现等七章。</w:t>
      </w:r>
    </w:p>
    <w:p>
      <w:pPr>
        <w:ind w:firstLine="640" w:firstLineChars="200"/>
        <w:rPr>
          <w:rFonts w:ascii="仿宋_GB2312" w:eastAsia="仿宋_GB2312"/>
          <w:sz w:val="32"/>
          <w:szCs w:val="32"/>
        </w:rPr>
      </w:pPr>
      <w:r>
        <w:rPr>
          <w:rFonts w:hint="eastAsia" w:ascii="仿宋_GB2312" w:eastAsia="仿宋_GB2312"/>
          <w:sz w:val="32"/>
          <w:szCs w:val="32"/>
        </w:rPr>
        <w:t>（二）规范责任、优化流程</w:t>
      </w:r>
    </w:p>
    <w:p>
      <w:pPr>
        <w:ind w:firstLine="640" w:firstLineChars="200"/>
        <w:rPr>
          <w:rFonts w:ascii="仿宋_GB2312" w:eastAsia="仿宋_GB2312"/>
          <w:sz w:val="32"/>
          <w:szCs w:val="32"/>
        </w:rPr>
      </w:pPr>
      <w:r>
        <w:rPr>
          <w:rFonts w:hint="eastAsia" w:ascii="仿宋_GB2312" w:eastAsia="仿宋_GB2312"/>
          <w:sz w:val="32"/>
          <w:szCs w:val="32"/>
        </w:rPr>
        <w:t>1.删除服务机构入库提交材料清单、创新券申请提交材料清单、创新券兑现提交材料清单（《实施办法（试行）》原第七条、第十条、第十二条）</w:t>
      </w:r>
    </w:p>
    <w:p>
      <w:pPr>
        <w:ind w:firstLine="640" w:firstLineChars="200"/>
        <w:rPr>
          <w:rFonts w:ascii="仿宋_GB2312" w:eastAsia="仿宋_GB2312"/>
          <w:sz w:val="32"/>
          <w:szCs w:val="32"/>
        </w:rPr>
      </w:pPr>
      <w:r>
        <w:rPr>
          <w:rFonts w:hint="eastAsia" w:ascii="仿宋_GB2312" w:eastAsia="仿宋_GB2312"/>
          <w:sz w:val="32"/>
          <w:szCs w:val="32"/>
        </w:rPr>
        <w:t>修改说明：原《实施办法（试行）》对申请材料的规定不符合有关新政要求，同时也限定了实际操作的灵活性。</w:t>
      </w:r>
    </w:p>
    <w:p>
      <w:pPr>
        <w:ind w:firstLine="640" w:firstLineChars="200"/>
        <w:rPr>
          <w:rFonts w:ascii="仿宋_GB2312" w:eastAsia="仿宋_GB2312"/>
          <w:sz w:val="32"/>
          <w:szCs w:val="32"/>
        </w:rPr>
      </w:pPr>
      <w:r>
        <w:rPr>
          <w:rFonts w:hint="eastAsia" w:ascii="仿宋_GB2312" w:eastAsia="仿宋_GB2312"/>
          <w:sz w:val="32"/>
          <w:szCs w:val="32"/>
        </w:rPr>
        <w:t>为贯彻落实《国务院关于加快推进“互联网+政务服务”工作的指导意见》（国发〔2016〕55号）、深入推进大众创业、万众创新，最大程度利企便民，让企业和群众少跑腿、好办事、不添堵，根据《2018年广东省“互联网+政务服务”调查评估工作方案》，创新券申请已采用“互联网+政务服务”模式仅需网络填报申请、无需提交纸质材料。而《实施办法（试行）》原第十条 “（一）登录深圳市科技创新委员会业务管理系统http：//apply.szsti.gov.cn，提供通过该系统打印的申请书纸质文件原件，法定代表人签字加盖公章；”。</w:t>
      </w:r>
    </w:p>
    <w:p>
      <w:pPr>
        <w:ind w:firstLine="640" w:firstLineChars="200"/>
        <w:rPr>
          <w:rFonts w:ascii="黑体" w:hAnsi="黑体" w:eastAsia="黑体"/>
          <w:sz w:val="32"/>
          <w:szCs w:val="32"/>
        </w:rPr>
      </w:pPr>
      <w:r>
        <w:rPr>
          <w:rFonts w:hint="eastAsia" w:ascii="黑体" w:hAnsi="黑体" w:eastAsia="黑体"/>
          <w:sz w:val="32"/>
          <w:szCs w:val="32"/>
        </w:rPr>
        <w:t>三、修订内容及说明</w:t>
      </w:r>
    </w:p>
    <w:p>
      <w:pPr>
        <w:ind w:firstLine="640" w:firstLineChars="200"/>
        <w:rPr>
          <w:rFonts w:ascii="黑体" w:hAnsi="黑体" w:eastAsia="黑体"/>
          <w:sz w:val="32"/>
          <w:szCs w:val="32"/>
        </w:rPr>
      </w:pPr>
      <w:r>
        <w:rPr>
          <w:rFonts w:hint="eastAsia" w:ascii="黑体" w:hAnsi="黑体" w:eastAsia="黑体"/>
          <w:sz w:val="32"/>
          <w:szCs w:val="32"/>
        </w:rPr>
        <w:t>（一）总则部分的修改思路</w:t>
      </w:r>
    </w:p>
    <w:p>
      <w:pPr>
        <w:ind w:firstLine="640" w:firstLineChars="200"/>
        <w:rPr>
          <w:rFonts w:ascii="仿宋_GB2312" w:hAnsi="仿宋_GB2312" w:eastAsia="仿宋_GB2312"/>
          <w:sz w:val="32"/>
        </w:rPr>
      </w:pPr>
      <w:r>
        <w:rPr>
          <w:rFonts w:hint="eastAsia" w:ascii="仿宋_GB2312" w:eastAsia="仿宋_GB2312"/>
          <w:sz w:val="32"/>
          <w:szCs w:val="32"/>
        </w:rPr>
        <w:t>第一条法律依据部分，增加了</w:t>
      </w:r>
      <w:r>
        <w:rPr>
          <w:rFonts w:hint="eastAsia" w:ascii="仿宋_GB2312" w:hAnsi="仿宋_GB2312" w:eastAsia="仿宋_GB2312"/>
          <w:sz w:val="32"/>
        </w:rPr>
        <w:t>《国务院关于加快科技服务业发展的若干意见</w:t>
      </w:r>
      <w:r>
        <w:rPr>
          <w:rFonts w:ascii="仿宋_GB2312" w:hAnsi="仿宋_GB2312" w:eastAsia="仿宋_GB2312"/>
          <w:sz w:val="32"/>
        </w:rPr>
        <w:t xml:space="preserve"> </w:t>
      </w:r>
      <w:r>
        <w:rPr>
          <w:rFonts w:hint="eastAsia" w:ascii="仿宋_GB2312" w:hAnsi="仿宋_GB2312" w:eastAsia="仿宋_GB2312"/>
          <w:sz w:val="32"/>
        </w:rPr>
        <w:t>》国发〔</w:t>
      </w:r>
      <w:r>
        <w:rPr>
          <w:rFonts w:ascii="仿宋_GB2312" w:hAnsi="仿宋_GB2312" w:eastAsia="仿宋_GB2312"/>
          <w:sz w:val="32"/>
        </w:rPr>
        <w:t>2014</w:t>
      </w:r>
      <w:r>
        <w:rPr>
          <w:rFonts w:hint="eastAsia" w:ascii="仿宋_GB2312" w:hAnsi="仿宋_GB2312" w:eastAsia="仿宋_GB2312"/>
          <w:sz w:val="32"/>
        </w:rPr>
        <w:t>〕</w:t>
      </w:r>
      <w:r>
        <w:rPr>
          <w:rFonts w:ascii="仿宋_GB2312" w:hAnsi="仿宋_GB2312" w:eastAsia="仿宋_GB2312"/>
          <w:sz w:val="32"/>
        </w:rPr>
        <w:t>49</w:t>
      </w:r>
      <w:r>
        <w:rPr>
          <w:rFonts w:hint="eastAsia" w:ascii="仿宋_GB2312" w:hAnsi="仿宋_GB2312" w:eastAsia="仿宋_GB2312"/>
          <w:sz w:val="32"/>
        </w:rPr>
        <w:t>号）。因为</w:t>
      </w:r>
      <w:r>
        <w:rPr>
          <w:rFonts w:hint="eastAsia" w:ascii="仿宋_GB2312" w:eastAsia="仿宋_GB2312"/>
          <w:sz w:val="32"/>
          <w:szCs w:val="32"/>
        </w:rPr>
        <w:t>科技创新券不仅支持科技企业研发活动，同时也促进了科技服务业的发展。</w:t>
      </w:r>
    </w:p>
    <w:p>
      <w:pPr>
        <w:ind w:firstLine="640" w:firstLineChars="200"/>
        <w:rPr>
          <w:rFonts w:ascii="仿宋_GB2312" w:hAnsi="Times New Roman" w:eastAsia="仿宋_GB2312"/>
          <w:sz w:val="32"/>
          <w:szCs w:val="32"/>
        </w:rPr>
      </w:pPr>
      <w:r>
        <w:rPr>
          <w:rFonts w:hint="eastAsia" w:ascii="仿宋_GB2312" w:hAnsi="仿宋_GB2312" w:eastAsia="仿宋_GB2312"/>
          <w:sz w:val="32"/>
        </w:rPr>
        <w:t>第二条定义创新券是一种配额凭证。为避免纠纷，在原条款末尾增加了“</w:t>
      </w:r>
      <w:r>
        <w:rPr>
          <w:rFonts w:hint="eastAsia" w:ascii="仿宋_GB2312" w:hAnsi="Times New Roman" w:eastAsia="仿宋_GB2312"/>
          <w:sz w:val="32"/>
          <w:szCs w:val="32"/>
        </w:rPr>
        <w:t>实际资助金额以创新券兑现金额为准。”</w:t>
      </w:r>
    </w:p>
    <w:p>
      <w:pPr>
        <w:ind w:firstLine="640" w:firstLineChars="200"/>
        <w:rPr>
          <w:rFonts w:ascii="仿宋_GB2312" w:hAnsi="仿宋_GB2312" w:eastAsia="仿宋_GB2312"/>
          <w:sz w:val="32"/>
        </w:rPr>
      </w:pPr>
      <w:r>
        <w:rPr>
          <w:rFonts w:hint="eastAsia" w:ascii="仿宋_GB2312" w:hAnsi="仿宋_GB2312" w:eastAsia="仿宋_GB2312"/>
          <w:sz w:val="32"/>
        </w:rPr>
        <w:t>第四条创新券适用范围部分，考虑到实际执行中难以量化和评估有关服务事项的完成情况，删除了“创业孵化、</w:t>
      </w:r>
      <w:r>
        <w:rPr>
          <w:rFonts w:hint="eastAsia" w:ascii="仿宋_GB2312" w:hAnsi="Times New Roman" w:eastAsia="仿宋_GB2312"/>
          <w:sz w:val="32"/>
          <w:szCs w:val="32"/>
        </w:rPr>
        <w:t>科技咨询、科技金融、科学技术普及</w:t>
      </w:r>
      <w:r>
        <w:rPr>
          <w:rFonts w:hint="eastAsia" w:ascii="仿宋_GB2312" w:hAnsi="仿宋_GB2312" w:eastAsia="仿宋_GB2312"/>
          <w:sz w:val="32"/>
        </w:rPr>
        <w:t>”服务。根据《关于加强高企培育的通知》，新增了“</w:t>
      </w:r>
      <w:r>
        <w:rPr>
          <w:rFonts w:hint="eastAsia" w:ascii="仿宋_GB2312" w:hAnsi="Times New Roman" w:eastAsia="仿宋_GB2312"/>
          <w:sz w:val="32"/>
          <w:szCs w:val="32"/>
        </w:rPr>
        <w:t>高新技术企业认定服务</w:t>
      </w:r>
      <w:r>
        <w:rPr>
          <w:rFonts w:hint="eastAsia" w:ascii="仿宋_GB2312" w:hAnsi="仿宋_GB2312" w:eastAsia="仿宋_GB2312"/>
          <w:sz w:val="32"/>
        </w:rPr>
        <w:t>”。</w:t>
      </w:r>
    </w:p>
    <w:p>
      <w:pPr>
        <w:ind w:firstLine="640" w:firstLineChars="200"/>
        <w:rPr>
          <w:rFonts w:ascii="仿宋_GB2312" w:hAnsi="Times New Roman" w:eastAsia="仿宋_GB2312"/>
          <w:sz w:val="32"/>
          <w:szCs w:val="32"/>
        </w:rPr>
      </w:pPr>
      <w:r>
        <w:rPr>
          <w:rFonts w:hint="eastAsia" w:ascii="仿宋_GB2312" w:hAnsi="仿宋_GB2312" w:eastAsia="仿宋_GB2312"/>
          <w:sz w:val="32"/>
        </w:rPr>
        <w:t>新增第五条，对</w:t>
      </w:r>
      <w:r>
        <w:rPr>
          <w:rFonts w:ascii="仿宋_GB2312" w:hAnsi="Times New Roman" w:eastAsia="仿宋_GB2312"/>
          <w:sz w:val="32"/>
          <w:szCs w:val="32"/>
        </w:rPr>
        <w:t>科技创新券使用和管理</w:t>
      </w:r>
      <w:r>
        <w:rPr>
          <w:rFonts w:hint="eastAsia" w:ascii="仿宋_GB2312" w:hAnsi="Times New Roman" w:eastAsia="仿宋_GB2312"/>
          <w:sz w:val="32"/>
          <w:szCs w:val="32"/>
        </w:rPr>
        <w:t>应遵守的原则进行了说明。</w:t>
      </w:r>
    </w:p>
    <w:p>
      <w:pPr>
        <w:ind w:firstLine="640" w:firstLineChars="200"/>
        <w:rPr>
          <w:rFonts w:ascii="仿宋_GB2312" w:hAnsi="仿宋_GB2312" w:eastAsia="仿宋_GB2312"/>
          <w:sz w:val="32"/>
        </w:rPr>
      </w:pPr>
      <w:r>
        <w:rPr>
          <w:rFonts w:hint="eastAsia" w:ascii="仿宋_GB2312" w:hAnsi="Times New Roman" w:eastAsia="仿宋_GB2312"/>
          <w:sz w:val="32"/>
          <w:szCs w:val="32"/>
        </w:rPr>
        <w:t>新增第六条，对创新券申请和服务机构入库</w:t>
      </w:r>
      <w:r>
        <w:rPr>
          <w:rFonts w:hint="eastAsia" w:ascii="仿宋_GB2312" w:eastAsia="仿宋_GB2312"/>
          <w:sz w:val="32"/>
          <w:szCs w:val="32"/>
        </w:rPr>
        <w:t>申请主体应具备健全的财务机构，管理规范，无诚信异常记录、无严重违法记录等方面进行了原则性约束。</w:t>
      </w:r>
    </w:p>
    <w:p>
      <w:pPr>
        <w:ind w:firstLine="640" w:firstLineChars="200"/>
        <w:rPr>
          <w:rFonts w:ascii="黑体" w:hAnsi="黑体" w:eastAsia="黑体"/>
          <w:sz w:val="32"/>
          <w:szCs w:val="32"/>
        </w:rPr>
      </w:pPr>
      <w:r>
        <w:rPr>
          <w:rFonts w:hint="eastAsia" w:ascii="黑体" w:hAnsi="黑体" w:eastAsia="黑体"/>
          <w:sz w:val="32"/>
          <w:szCs w:val="32"/>
        </w:rPr>
        <w:t>（二）管理机构及职责部分的修改思路</w:t>
      </w:r>
    </w:p>
    <w:p>
      <w:pPr>
        <w:ind w:firstLine="640" w:firstLineChars="200"/>
        <w:rPr>
          <w:rFonts w:ascii="仿宋_GB2312" w:eastAsia="仿宋_GB2312"/>
          <w:sz w:val="32"/>
          <w:szCs w:val="32"/>
        </w:rPr>
      </w:pPr>
      <w:r>
        <w:rPr>
          <w:rFonts w:hint="eastAsia" w:ascii="仿宋_GB2312" w:eastAsia="仿宋_GB2312"/>
          <w:sz w:val="32"/>
          <w:szCs w:val="32"/>
        </w:rPr>
        <w:t>第五条规定了管理机构的职责。第七条科技部门责任违法违纪处理原则，根据实际工作，原条文“</w:t>
      </w:r>
      <w:r>
        <w:rPr>
          <w:rFonts w:hint="eastAsia" w:ascii="仿宋_GB2312" w:hAnsi="Times New Roman" w:eastAsia="仿宋_GB2312"/>
          <w:sz w:val="32"/>
          <w:szCs w:val="32"/>
        </w:rPr>
        <w:t>市科技部门在开展科技创新券核发、工作中”</w:t>
      </w:r>
      <w:r>
        <w:rPr>
          <w:rFonts w:hint="eastAsia" w:ascii="仿宋_GB2312" w:eastAsia="仿宋_GB2312"/>
          <w:sz w:val="32"/>
          <w:szCs w:val="32"/>
        </w:rPr>
        <w:t>修订为</w:t>
      </w:r>
      <w:r>
        <w:rPr>
          <w:rFonts w:hint="eastAsia" w:ascii="仿宋_GB2312" w:hAnsi="Times New Roman" w:eastAsia="仿宋_GB2312"/>
          <w:b/>
          <w:sz w:val="32"/>
          <w:szCs w:val="32"/>
        </w:rPr>
        <w:t>“</w:t>
      </w:r>
      <w:r>
        <w:rPr>
          <w:rFonts w:hint="eastAsia" w:ascii="仿宋_GB2312" w:hAnsi="Times New Roman" w:eastAsia="仿宋_GB2312"/>
          <w:sz w:val="32"/>
          <w:szCs w:val="32"/>
        </w:rPr>
        <w:t>市科技部门在开展科技创新券核发、服务机构入库和兑现工作中”。</w:t>
      </w:r>
    </w:p>
    <w:p>
      <w:pPr>
        <w:ind w:firstLine="640" w:firstLineChars="200"/>
        <w:rPr>
          <w:rFonts w:ascii="黑体" w:hAnsi="黑体" w:eastAsia="黑体"/>
          <w:sz w:val="32"/>
          <w:szCs w:val="32"/>
        </w:rPr>
      </w:pPr>
      <w:r>
        <w:rPr>
          <w:rFonts w:hint="eastAsia" w:ascii="黑体" w:hAnsi="黑体" w:eastAsia="黑体"/>
          <w:sz w:val="32"/>
          <w:szCs w:val="32"/>
        </w:rPr>
        <w:t>（三）创新券申请部分的修改思路</w:t>
      </w:r>
    </w:p>
    <w:p>
      <w:pPr>
        <w:ind w:firstLine="640" w:firstLineChars="200"/>
        <w:rPr>
          <w:rFonts w:ascii="仿宋_GB2312" w:eastAsia="仿宋_GB2312"/>
          <w:sz w:val="32"/>
          <w:szCs w:val="32"/>
        </w:rPr>
      </w:pPr>
      <w:r>
        <w:rPr>
          <w:rFonts w:hint="eastAsia" w:ascii="仿宋_GB2312" w:eastAsia="仿宋_GB2312"/>
          <w:sz w:val="32"/>
          <w:szCs w:val="32"/>
        </w:rPr>
        <w:t>新增第八条，明确规定了创新券申请支持对象为科技型中小微企业和创客。</w:t>
      </w:r>
    </w:p>
    <w:p>
      <w:pPr>
        <w:ind w:firstLine="640" w:firstLineChars="200"/>
        <w:rPr>
          <w:rFonts w:ascii="仿宋_GB2312" w:eastAsia="仿宋_GB2312"/>
          <w:sz w:val="32"/>
          <w:szCs w:val="32"/>
        </w:rPr>
      </w:pPr>
      <w:r>
        <w:rPr>
          <w:rFonts w:hint="eastAsia" w:ascii="仿宋_GB2312" w:eastAsia="仿宋_GB2312"/>
          <w:sz w:val="32"/>
          <w:szCs w:val="32"/>
        </w:rPr>
        <w:t>第九条规定了创新券申请人的条件。</w:t>
      </w:r>
    </w:p>
    <w:p>
      <w:pPr>
        <w:ind w:firstLine="640" w:firstLineChars="200"/>
        <w:rPr>
          <w:rFonts w:ascii="仿宋_GB2312" w:eastAsia="仿宋_GB2312"/>
          <w:sz w:val="32"/>
          <w:szCs w:val="32"/>
        </w:rPr>
      </w:pPr>
      <w:r>
        <w:rPr>
          <w:rFonts w:hint="eastAsia" w:ascii="仿宋_GB2312" w:eastAsia="仿宋_GB2312"/>
          <w:sz w:val="32"/>
          <w:szCs w:val="32"/>
        </w:rPr>
        <w:t>第十条规定了创新券支持对象的单次申领上限。其中，考虑到我委目前已取消个人创客资助计划，在创新券业务中，创客发放上限又原来的1万元修订为2万元。</w:t>
      </w:r>
    </w:p>
    <w:p>
      <w:pPr>
        <w:ind w:firstLine="640" w:firstLineChars="200"/>
        <w:rPr>
          <w:rFonts w:ascii="仿宋_GB2312" w:eastAsia="仿宋_GB2312"/>
          <w:sz w:val="32"/>
          <w:szCs w:val="32"/>
        </w:rPr>
      </w:pPr>
      <w:r>
        <w:rPr>
          <w:rFonts w:hint="eastAsia" w:ascii="仿宋_GB2312" w:eastAsia="仿宋_GB2312"/>
          <w:sz w:val="32"/>
          <w:szCs w:val="32"/>
        </w:rPr>
        <w:t>第十一条规定了创新券申请程序，第十三条规定了创新券实行无凭证配额制度，改变以往创新券以卡的形式发放；并规定了创新券有效期。</w:t>
      </w:r>
    </w:p>
    <w:p>
      <w:pPr>
        <w:ind w:firstLine="640" w:firstLineChars="200"/>
        <w:rPr>
          <w:rFonts w:ascii="黑体" w:hAnsi="黑体" w:eastAsia="黑体"/>
          <w:sz w:val="32"/>
          <w:szCs w:val="32"/>
        </w:rPr>
      </w:pPr>
      <w:r>
        <w:rPr>
          <w:rFonts w:hint="eastAsia" w:ascii="黑体" w:hAnsi="黑体" w:eastAsia="黑体"/>
          <w:sz w:val="32"/>
          <w:szCs w:val="32"/>
        </w:rPr>
        <w:t>（四）服务机构入库部分的修改思路</w:t>
      </w:r>
    </w:p>
    <w:p>
      <w:pPr>
        <w:spacing w:line="560" w:lineRule="exact"/>
        <w:ind w:firstLine="640"/>
        <w:rPr>
          <w:rFonts w:ascii="仿宋_GB2312" w:eastAsia="仿宋_GB2312"/>
          <w:sz w:val="32"/>
          <w:szCs w:val="32"/>
        </w:rPr>
      </w:pPr>
      <w:r>
        <w:rPr>
          <w:rFonts w:hint="eastAsia" w:ascii="仿宋_GB2312" w:eastAsia="仿宋_GB2312"/>
          <w:sz w:val="32"/>
          <w:szCs w:val="32"/>
        </w:rPr>
        <w:t>第十四条至十七条，规定了服务机构申请条件、申请程序、申请材料和服务机构入库有效期。服务机构入库申请程序。</w:t>
      </w:r>
    </w:p>
    <w:p>
      <w:pPr>
        <w:ind w:firstLine="640" w:firstLineChars="200"/>
        <w:rPr>
          <w:rFonts w:ascii="黑体" w:hAnsi="黑体" w:eastAsia="黑体"/>
          <w:sz w:val="32"/>
          <w:szCs w:val="32"/>
        </w:rPr>
      </w:pPr>
      <w:r>
        <w:rPr>
          <w:rFonts w:hint="eastAsia" w:ascii="黑体" w:hAnsi="黑体" w:eastAsia="黑体"/>
          <w:sz w:val="32"/>
          <w:szCs w:val="32"/>
        </w:rPr>
        <w:t>（五）创新券使用和兑现部分的修改思路</w:t>
      </w:r>
    </w:p>
    <w:p>
      <w:pPr>
        <w:ind w:firstLine="640" w:firstLineChars="200"/>
        <w:rPr>
          <w:rFonts w:ascii="仿宋_GB2312" w:eastAsia="仿宋_GB2312"/>
          <w:sz w:val="32"/>
          <w:szCs w:val="32"/>
        </w:rPr>
      </w:pPr>
      <w:r>
        <w:rPr>
          <w:rFonts w:hint="eastAsia" w:ascii="仿宋_GB2312" w:eastAsia="仿宋_GB2312"/>
          <w:sz w:val="32"/>
          <w:szCs w:val="32"/>
        </w:rPr>
        <w:t>新增第十八条、十九条 ，规定服务交易媒介和创新券服务事项登记工作需遵循的要点。十九条对服务双方的隶属及关联关系进行了约束。</w:t>
      </w:r>
    </w:p>
    <w:p>
      <w:pPr>
        <w:ind w:firstLine="640" w:firstLineChars="200"/>
        <w:rPr>
          <w:rFonts w:ascii="仿宋_GB2312" w:eastAsia="仿宋_GB2312"/>
          <w:sz w:val="32"/>
          <w:szCs w:val="32"/>
        </w:rPr>
      </w:pPr>
      <w:r>
        <w:rPr>
          <w:rFonts w:hint="eastAsia" w:ascii="仿宋_GB2312" w:eastAsia="仿宋_GB2312"/>
          <w:sz w:val="32"/>
          <w:szCs w:val="32"/>
        </w:rPr>
        <w:t>增加二十一条和二十五条，第二十一条规定了兑现条件第二十五条规定为保证资金安全和公平公正，增加了对异议服务事项和兑现金额大的服务机构进行现场鉴证环节。</w:t>
      </w:r>
    </w:p>
    <w:p>
      <w:pPr>
        <w:ind w:firstLine="640" w:firstLineChars="200"/>
        <w:rPr>
          <w:rFonts w:ascii="黑体" w:hAnsi="黑体" w:eastAsia="黑体"/>
          <w:sz w:val="32"/>
          <w:szCs w:val="32"/>
        </w:rPr>
      </w:pPr>
      <w:r>
        <w:rPr>
          <w:rFonts w:hint="eastAsia" w:ascii="黑体" w:hAnsi="黑体" w:eastAsia="黑体"/>
          <w:sz w:val="32"/>
          <w:szCs w:val="32"/>
        </w:rPr>
        <w:t>（六）监督部分的修改意见</w:t>
      </w:r>
    </w:p>
    <w:p>
      <w:pPr>
        <w:ind w:firstLine="640" w:firstLineChars="200"/>
        <w:rPr>
          <w:rFonts w:eastAsia="仿宋_GB2312"/>
          <w:sz w:val="32"/>
          <w:szCs w:val="32"/>
        </w:rPr>
      </w:pPr>
      <w:r>
        <w:rPr>
          <w:rFonts w:hint="eastAsia" w:ascii="仿宋_GB2312" w:hAnsi="Calibri" w:eastAsia="仿宋_GB2312" w:cs="Calibri"/>
          <w:kern w:val="0"/>
          <w:sz w:val="32"/>
          <w:szCs w:val="23"/>
        </w:rPr>
        <w:t>新增第二十七条的内容，“申报单位对申请材料的合法性、真实性、准确性和完整性负责。如有虚假，情节严重的，取消申报资格并依法追究相关责任。”</w:t>
      </w:r>
    </w:p>
    <w:p>
      <w:pPr>
        <w:ind w:firstLine="640" w:firstLineChars="200"/>
        <w:rPr>
          <w:rFonts w:ascii="黑体" w:hAnsi="黑体" w:eastAsia="黑体"/>
          <w:sz w:val="32"/>
          <w:szCs w:val="32"/>
        </w:rPr>
      </w:pPr>
      <w:r>
        <w:rPr>
          <w:rFonts w:hint="eastAsia" w:ascii="黑体" w:hAnsi="黑体" w:eastAsia="黑体"/>
          <w:sz w:val="32"/>
          <w:szCs w:val="32"/>
        </w:rPr>
        <w:t>三、主要内容</w:t>
      </w:r>
    </w:p>
    <w:p>
      <w:pPr>
        <w:spacing w:line="560" w:lineRule="exact"/>
        <w:ind w:right="-160" w:rightChars="-57" w:firstLine="627" w:firstLineChars="196"/>
        <w:rPr>
          <w:rFonts w:ascii="仿宋_GB2312" w:hAnsi="仿宋" w:eastAsia="仿宋_GB2312"/>
          <w:sz w:val="32"/>
          <w:szCs w:val="32"/>
        </w:rPr>
      </w:pPr>
      <w:r>
        <w:rPr>
          <w:rFonts w:hint="eastAsia" w:ascii="仿宋_GB2312" w:hAnsi="仿宋" w:eastAsia="仿宋_GB2312"/>
          <w:sz w:val="32"/>
          <w:szCs w:val="32"/>
        </w:rPr>
        <w:t>《管理办法》共七章二十九条。</w:t>
      </w:r>
    </w:p>
    <w:p>
      <w:pPr>
        <w:adjustRightInd w:val="0"/>
        <w:spacing w:line="560" w:lineRule="exact"/>
        <w:ind w:firstLine="640" w:firstLineChars="200"/>
        <w:rPr>
          <w:rFonts w:ascii="仿宋_GB2312" w:hAnsi="宋体" w:eastAsia="仿宋_GB2312" w:cs="宋体"/>
          <w:sz w:val="32"/>
          <w:szCs w:val="32"/>
          <w:lang w:val="zh-TW"/>
        </w:rPr>
      </w:pPr>
      <w:r>
        <w:rPr>
          <w:rFonts w:hint="eastAsia" w:ascii="仿宋_GB2312" w:hAnsi="宋体" w:eastAsia="仿宋_GB2312" w:cs="宋体"/>
          <w:sz w:val="32"/>
          <w:szCs w:val="32"/>
          <w:lang w:val="zh-TW"/>
        </w:rPr>
        <w:t>第一条至第四条为第一章，是总则部分，主要规定了制定《管理办法》的</w:t>
      </w:r>
      <w:r>
        <w:rPr>
          <w:rFonts w:hint="eastAsia" w:ascii="仿宋_GB2312" w:hAnsi="宋体" w:eastAsia="仿宋_GB2312" w:cs="宋体"/>
          <w:sz w:val="32"/>
          <w:szCs w:val="32"/>
          <w:lang w:val="zh-TW" w:eastAsia="zh-TW"/>
        </w:rPr>
        <w:t>依据</w:t>
      </w:r>
      <w:r>
        <w:rPr>
          <w:rFonts w:hint="eastAsia" w:ascii="仿宋_GB2312" w:hAnsi="宋体" w:eastAsia="仿宋_GB2312" w:cs="宋体"/>
          <w:sz w:val="32"/>
          <w:szCs w:val="32"/>
          <w:lang w:val="zh-TW"/>
        </w:rPr>
        <w:t>、意义、</w:t>
      </w:r>
      <w:r>
        <w:rPr>
          <w:rFonts w:hint="eastAsia" w:ascii="仿宋_GB2312" w:hAnsi="宋体" w:eastAsia="仿宋_GB2312" w:cs="宋体"/>
          <w:sz w:val="32"/>
          <w:szCs w:val="32"/>
          <w:lang w:val="zh-TW" w:eastAsia="zh-TW"/>
        </w:rPr>
        <w:t>定义</w:t>
      </w:r>
      <w:r>
        <w:rPr>
          <w:rFonts w:hint="eastAsia" w:ascii="仿宋_GB2312" w:hAnsi="宋体" w:eastAsia="仿宋_GB2312" w:cs="宋体"/>
          <w:sz w:val="32"/>
          <w:szCs w:val="32"/>
          <w:lang w:val="zh-TW"/>
        </w:rPr>
        <w:t>、</w:t>
      </w:r>
      <w:r>
        <w:rPr>
          <w:rFonts w:hint="eastAsia" w:ascii="仿宋_GB2312" w:hAnsi="宋体" w:eastAsia="仿宋_GB2312" w:cs="宋体"/>
          <w:sz w:val="32"/>
          <w:szCs w:val="32"/>
          <w:lang w:val="zh-TW" w:eastAsia="zh-TW"/>
        </w:rPr>
        <w:t>适用范围</w:t>
      </w:r>
      <w:r>
        <w:rPr>
          <w:rFonts w:hint="eastAsia" w:ascii="仿宋_GB2312" w:hAnsi="宋体" w:eastAsia="仿宋_GB2312" w:cs="宋体"/>
          <w:sz w:val="32"/>
          <w:szCs w:val="32"/>
          <w:lang w:val="zh-TW"/>
        </w:rPr>
        <w:t>、创新券使用和管理的基本原则以及申请单位的基本要求。</w:t>
      </w:r>
    </w:p>
    <w:p>
      <w:pPr>
        <w:adjustRightInd w:val="0"/>
        <w:spacing w:line="560" w:lineRule="exact"/>
        <w:ind w:firstLine="640" w:firstLineChars="200"/>
        <w:rPr>
          <w:rFonts w:ascii="仿宋_GB2312" w:hAnsi="宋体" w:eastAsia="仿宋_GB2312" w:cs="宋体"/>
          <w:sz w:val="32"/>
          <w:szCs w:val="32"/>
          <w:lang w:val="zh-TW"/>
        </w:rPr>
      </w:pPr>
      <w:r>
        <w:rPr>
          <w:rFonts w:hint="eastAsia" w:ascii="仿宋_GB2312" w:hAnsi="宋体" w:eastAsia="仿宋_GB2312" w:cs="宋体"/>
          <w:sz w:val="32"/>
          <w:szCs w:val="32"/>
          <w:lang w:val="zh-TW"/>
        </w:rPr>
        <w:t>第五条至第七条为第二章，是管理机构及职责部分，包括，</w:t>
      </w:r>
    </w:p>
    <w:p>
      <w:pPr>
        <w:adjustRightInd w:val="0"/>
        <w:spacing w:line="560" w:lineRule="exact"/>
        <w:ind w:firstLine="640" w:firstLineChars="200"/>
        <w:rPr>
          <w:rFonts w:ascii="仿宋_GB2312" w:hAnsi="宋体" w:eastAsia="仿宋_GB2312" w:cs="宋体"/>
          <w:sz w:val="32"/>
          <w:szCs w:val="32"/>
          <w:lang w:val="zh-TW"/>
        </w:rPr>
      </w:pPr>
      <w:r>
        <w:rPr>
          <w:rFonts w:hint="eastAsia" w:ascii="仿宋_GB2312" w:hAnsi="宋体" w:eastAsia="仿宋_GB2312" w:cs="宋体"/>
          <w:sz w:val="32"/>
          <w:szCs w:val="32"/>
          <w:lang w:val="zh-TW"/>
        </w:rPr>
        <w:t>第八条至十三条为第三章，是创新券申请部分，规定了创新券申请的支持对象、创新券申请条件，不同申请对象的支持上限、创新券申请程序，以及创新券有效期等。</w:t>
      </w:r>
    </w:p>
    <w:p>
      <w:pPr>
        <w:adjustRightInd w:val="0"/>
        <w:spacing w:line="560" w:lineRule="exact"/>
        <w:ind w:firstLine="640" w:firstLineChars="200"/>
        <w:rPr>
          <w:rFonts w:ascii="仿宋_GB2312" w:hAnsi="宋体" w:eastAsia="仿宋_GB2312" w:cs="宋体"/>
          <w:sz w:val="32"/>
          <w:szCs w:val="32"/>
          <w:lang w:val="zh-TW"/>
        </w:rPr>
      </w:pPr>
      <w:r>
        <w:rPr>
          <w:rFonts w:hint="eastAsia" w:ascii="仿宋_GB2312" w:hAnsi="宋体" w:eastAsia="仿宋_GB2312" w:cs="宋体"/>
          <w:sz w:val="32"/>
          <w:szCs w:val="32"/>
          <w:lang w:val="zh-TW"/>
        </w:rPr>
        <w:t>第十四条至第十七条为第四章，是服务机构入库部分，分别规定了服务机构入库申请条件、申请程序及申请材料。</w:t>
      </w:r>
    </w:p>
    <w:p>
      <w:pPr>
        <w:adjustRightInd w:val="0"/>
        <w:spacing w:line="560" w:lineRule="exact"/>
        <w:ind w:firstLine="640" w:firstLineChars="200"/>
        <w:rPr>
          <w:rFonts w:ascii="仿宋_GB2312" w:hAnsi="宋体" w:eastAsia="仿宋_GB2312" w:cs="宋体"/>
          <w:sz w:val="32"/>
          <w:szCs w:val="32"/>
          <w:lang w:val="zh-TW"/>
        </w:rPr>
      </w:pPr>
      <w:r>
        <w:rPr>
          <w:rFonts w:hint="eastAsia" w:ascii="仿宋_GB2312" w:hAnsi="宋体" w:eastAsia="仿宋_GB2312" w:cs="宋体"/>
          <w:sz w:val="32"/>
          <w:szCs w:val="32"/>
          <w:lang w:val="zh-TW"/>
        </w:rPr>
        <w:t>第十八条至第二十五条为第五章，是创新券使用和兑现部分，对创新券使用要求、服务事项登记、创新券兑现条件、创新券兑现程序、创新券兑现提交材料、创新券复审现场鉴证等进行了规定。</w:t>
      </w:r>
    </w:p>
    <w:p>
      <w:pPr>
        <w:ind w:firstLine="640" w:firstLineChars="200"/>
        <w:rPr>
          <w:rFonts w:ascii="仿宋_GB2312" w:hAnsi="宋体" w:eastAsia="仿宋_GB2312" w:cs="宋体"/>
          <w:sz w:val="32"/>
          <w:szCs w:val="32"/>
          <w:lang w:val="zh-TW"/>
        </w:rPr>
      </w:pPr>
      <w:r>
        <w:rPr>
          <w:rFonts w:hint="eastAsia" w:ascii="仿宋_GB2312" w:hAnsi="宋体" w:eastAsia="仿宋_GB2312" w:cs="宋体"/>
          <w:sz w:val="32"/>
          <w:szCs w:val="32"/>
          <w:lang w:val="zh-TW"/>
        </w:rPr>
        <w:t>第二十六条至第二十八条为第六章，是监督管理部分，主要规定了监督检查、违规处罚措施等</w:t>
      </w:r>
      <w:r>
        <w:rPr>
          <w:rFonts w:hint="eastAsia" w:ascii="仿宋_GB2312" w:hAnsi="宋体" w:eastAsia="仿宋_GB2312" w:cs="宋体"/>
          <w:sz w:val="32"/>
          <w:szCs w:val="32"/>
          <w:lang w:val="zh-TW" w:eastAsia="zh-TW"/>
        </w:rPr>
        <w:t>。</w:t>
      </w:r>
    </w:p>
    <w:p>
      <w:pPr>
        <w:ind w:firstLine="640" w:firstLineChars="200"/>
        <w:rPr>
          <w:rFonts w:hint="eastAsia" w:ascii="仿宋_GB2312" w:hAnsi="Times New Roman" w:eastAsia="仿宋_GB2312"/>
          <w:sz w:val="32"/>
          <w:szCs w:val="32"/>
        </w:rPr>
      </w:pPr>
      <w:r>
        <w:rPr>
          <w:rFonts w:hint="eastAsia" w:ascii="仿宋_GB2312" w:hAnsi="宋体" w:eastAsia="仿宋_GB2312" w:cs="宋体"/>
          <w:sz w:val="32"/>
          <w:szCs w:val="32"/>
          <w:lang w:val="zh-TW"/>
        </w:rPr>
        <w:t>第二十九条为第七章附则部分，对新政策生效及原文件废止时间做出了说明。</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88" w:bottom="1701" w:left="1588" w:header="1134" w:footer="567" w:gutter="0"/>
      <w:pgNumType w:start="1"/>
      <w:cols w:space="720" w:num="1"/>
      <w:docGrid w:type="lines" w:linePitch="381" w:charSpace="0"/>
    </w:sectPr>
  </w:body>
</w:document>
</file>

<file path=word/customizations.xml><?xml version="1.0" encoding="utf-8"?>
<wne:tcg xmlns:r="http://schemas.openxmlformats.org/officeDocument/2006/relationships" xmlns:wne="http://schemas.microsoft.com/office/word/2006/wordml">
  <wne:keymaps>
    <wne:keymap wne:kcmPrimary="0248" wne:kcmSecondary="ADF4">
      <wne:acd wne:acdName="acd0"/>
    </wne:keymap>
    <wne:keymap wne:kcmPrimary="0248" wne:kcmSecondary="BDF6">
      <wne:acd wne:acdName="acd1"/>
    </wne:keymap>
    <wne:keymap wne:kcmPrimary="0248" wne:kcmSecondary="D118">
      <wne:acd wne:acdName="acd2"/>
    </wne:keymap>
    <wne:keymap wne:kcmPrimary="0248" wne:kcmSecondary="BA56">
      <wne:acd wne:acdName="acd3"/>
    </wne:keymap>
    <wne:keymap wne:kcmPrimary="0248" wne:kcmSecondary="D238">
      <wne:acd wne:acdName="acd4"/>
    </wne:keymap>
    <wne:keymap wne:kcmPrimary="0248" wne:kcmSecondary="B056">
      <wne:acd wne:acdName="acd5"/>
    </wne:keymap>
  </wne:keymaps>
  <wne:acds>
    <wne:acd wne:argValue="AgBBAHAAcABsAHkAUwB0AHkAbABlAE4AYQBtAGUA" wne:acdName="acd0" wne:fciIndexBasedOn="0065"/>
    <wne:acd wne:argValue="AgBBAHAAcABsAHkAUwB0AHkAbABlAE4AYQBtAGUA" wne:acdName="acd1" wne:fciIndexBasedOn="0065"/>
    <wne:acd wne:argValue="AgBBAHAAcABsAHkAUwB0AHkAbABlAE4AYQBtAGUA" wne:acdName="acd2" wne:fciIndexBasedOn="0065"/>
    <wne:acd wne:argValue="AgBBAHAAcABsAHkAUwB0AHkAbABlAE4AYQBtAGUA" wne:acdName="acd3" wne:fciIndexBasedOn="0065"/>
    <wne:acd wne:argValue="AgBBAHAAcABsAHkAUwB0AHkAbABlAE4AYQBtAGUA" wne:acdName="acd4" wne:fciIndexBasedOn="0065"/>
    <wne:acd wne:argValue="AgBBAHAAcABsAHkAUwB0AHkAbABlAE4AYQBtAGUA" wne:acdName="acd5"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rebuchet MS">
    <w:panose1 w:val="020B0603020202020204"/>
    <w:charset w:val="00"/>
    <w:family w:val="swiss"/>
    <w:pitch w:val="default"/>
    <w:sig w:usb0="00000287" w:usb1="00000003" w:usb2="00000000" w:usb3="00000000" w:csb0="2000009F" w:csb1="00000000"/>
  </w:font>
  <w:font w:name="MingLiU">
    <w:panose1 w:val="02020509000000000000"/>
    <w:charset w:val="88"/>
    <w:family w:val="modern"/>
    <w:pitch w:val="default"/>
    <w:sig w:usb0="A00002FF" w:usb1="28CFFCFA" w:usb2="00000016" w:usb3="00000000" w:csb0="00100001"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480"/>
      <w:jc w:val="right"/>
      <w:rPr>
        <w:rFonts w:ascii="仿宋_GB2312" w:hAnsi="Cambria" w:eastAsia="仿宋_GB2312"/>
        <w:sz w:val="24"/>
        <w:szCs w:val="28"/>
      </w:rPr>
    </w:pPr>
    <w:r>
      <w:rPr>
        <w:rFonts w:hint="eastAsia" w:ascii="仿宋_GB2312" w:hAnsi="Cambria" w:eastAsia="仿宋_GB2312"/>
        <w:sz w:val="24"/>
        <w:szCs w:val="28"/>
        <w:lang w:val="zh-CN"/>
      </w:rPr>
      <w:t>－</w:t>
    </w:r>
    <w:r>
      <w:rPr>
        <w:rFonts w:hint="eastAsia" w:ascii="仿宋_GB2312" w:eastAsia="仿宋_GB2312"/>
        <w:sz w:val="24"/>
        <w:szCs w:val="28"/>
        <w:lang w:val="zh-CN"/>
      </w:rPr>
      <w:t xml:space="preserve"> </w:t>
    </w:r>
    <w:r>
      <w:rPr>
        <w:rFonts w:hint="eastAsia" w:ascii="仿宋_GB2312" w:eastAsia="仿宋_GB2312"/>
        <w:sz w:val="22"/>
        <w:szCs w:val="21"/>
      </w:rPr>
      <w:fldChar w:fldCharType="begin"/>
    </w:r>
    <w:r>
      <w:rPr>
        <w:rFonts w:hint="eastAsia" w:ascii="仿宋_GB2312" w:eastAsia="仿宋_GB2312"/>
      </w:rPr>
      <w:instrText xml:space="preserve">PAGE    \* MERGEFORMAT</w:instrText>
    </w:r>
    <w:r>
      <w:rPr>
        <w:rFonts w:hint="eastAsia" w:ascii="仿宋_GB2312" w:eastAsia="仿宋_GB2312"/>
        <w:sz w:val="22"/>
        <w:szCs w:val="21"/>
      </w:rPr>
      <w:fldChar w:fldCharType="separate"/>
    </w:r>
    <w:r>
      <w:rPr>
        <w:rFonts w:ascii="仿宋_GB2312" w:eastAsia="仿宋_GB2312"/>
        <w:sz w:val="28"/>
        <w:szCs w:val="28"/>
        <w:lang w:val="zh-CN"/>
      </w:rPr>
      <w:t>7</w:t>
    </w:r>
    <w:r>
      <w:rPr>
        <w:rFonts w:hint="eastAsia" w:ascii="仿宋_GB2312" w:eastAsia="仿宋_GB2312"/>
        <w:sz w:val="28"/>
        <w:szCs w:val="28"/>
      </w:rPr>
      <w:fldChar w:fldCharType="end"/>
    </w:r>
    <w:r>
      <w:rPr>
        <w:rFonts w:hint="eastAsia" w:ascii="仿宋_GB2312" w:eastAsia="仿宋_GB2312"/>
        <w:sz w:val="24"/>
        <w:szCs w:val="28"/>
      </w:rPr>
      <w:t xml:space="preserve"> </w:t>
    </w:r>
    <w:r>
      <w:rPr>
        <w:rFonts w:hint="eastAsia" w:ascii="仿宋_GB2312" w:hAnsi="Cambria" w:eastAsia="仿宋_GB2312"/>
        <w:sz w:val="24"/>
        <w:szCs w:val="28"/>
        <w:lang w:val="zh-CN"/>
      </w:rPr>
      <w:t>－</w:t>
    </w:r>
  </w:p>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rPr>
        <w:rFonts w:ascii="仿宋_GB2312" w:hAnsi="Cambria" w:eastAsia="仿宋_GB2312"/>
        <w:sz w:val="24"/>
        <w:szCs w:val="28"/>
      </w:rPr>
    </w:pPr>
    <w:r>
      <w:rPr>
        <w:rFonts w:hint="eastAsia" w:ascii="仿宋_GB2312" w:hAnsi="Cambria" w:eastAsia="仿宋_GB2312"/>
        <w:sz w:val="24"/>
        <w:szCs w:val="28"/>
        <w:lang w:val="zh-CN"/>
      </w:rPr>
      <w:t>－</w:t>
    </w:r>
    <w:r>
      <w:rPr>
        <w:rFonts w:hint="eastAsia" w:ascii="仿宋_GB2312" w:eastAsia="仿宋_GB2312"/>
        <w:sz w:val="24"/>
        <w:szCs w:val="28"/>
        <w:lang w:val="zh-CN"/>
      </w:rPr>
      <w:t xml:space="preserve"> </w:t>
    </w:r>
    <w:r>
      <w:rPr>
        <w:rFonts w:hint="eastAsia" w:ascii="仿宋_GB2312" w:eastAsia="仿宋_GB2312"/>
        <w:sz w:val="22"/>
        <w:szCs w:val="21"/>
      </w:rPr>
      <w:fldChar w:fldCharType="begin"/>
    </w:r>
    <w:r>
      <w:rPr>
        <w:rFonts w:hint="eastAsia" w:ascii="仿宋_GB2312" w:eastAsia="仿宋_GB2312"/>
      </w:rPr>
      <w:instrText xml:space="preserve">PAGE    \* MERGEFORMAT</w:instrText>
    </w:r>
    <w:r>
      <w:rPr>
        <w:rFonts w:hint="eastAsia" w:ascii="仿宋_GB2312" w:eastAsia="仿宋_GB2312"/>
        <w:sz w:val="22"/>
        <w:szCs w:val="21"/>
      </w:rPr>
      <w:fldChar w:fldCharType="separate"/>
    </w:r>
    <w:r>
      <w:rPr>
        <w:rFonts w:ascii="仿宋_GB2312" w:eastAsia="仿宋_GB2312"/>
        <w:sz w:val="28"/>
        <w:szCs w:val="28"/>
        <w:lang w:val="zh-CN"/>
      </w:rPr>
      <w:t>6</w:t>
    </w:r>
    <w:r>
      <w:rPr>
        <w:rFonts w:hint="eastAsia" w:ascii="仿宋_GB2312" w:eastAsia="仿宋_GB2312"/>
        <w:sz w:val="28"/>
        <w:szCs w:val="28"/>
      </w:rPr>
      <w:fldChar w:fldCharType="end"/>
    </w:r>
    <w:r>
      <w:rPr>
        <w:rFonts w:hint="eastAsia" w:ascii="仿宋_GB2312" w:eastAsia="仿宋_GB2312"/>
        <w:sz w:val="24"/>
        <w:szCs w:val="28"/>
      </w:rPr>
      <w:t xml:space="preserve"> </w:t>
    </w:r>
    <w:r>
      <w:rPr>
        <w:rFonts w:hint="eastAsia" w:ascii="仿宋_GB2312" w:hAnsi="Cambria" w:eastAsia="仿宋_GB2312"/>
        <w:sz w:val="24"/>
        <w:szCs w:val="28"/>
        <w:lang w:val="zh-CN"/>
      </w:rPr>
      <w:t>－</w:t>
    </w:r>
  </w:p>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9D23C7"/>
    <w:multiLevelType w:val="multilevel"/>
    <w:tmpl w:val="6F9D23C7"/>
    <w:lvl w:ilvl="0" w:tentative="0">
      <w:start w:val="1"/>
      <w:numFmt w:val="japaneseCounting"/>
      <w:lvlText w:val="第%1条"/>
      <w:lvlJc w:val="left"/>
      <w:pPr>
        <w:ind w:left="2413" w:hanging="1770"/>
      </w:pPr>
      <w:rPr>
        <w:rFonts w:hint="default"/>
        <w:b/>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娅琳">
    <w15:presenceInfo w15:providerId="None" w15:userId="张娅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7B0"/>
    <w:rsid w:val="00002CA2"/>
    <w:rsid w:val="00006169"/>
    <w:rsid w:val="00006752"/>
    <w:rsid w:val="00014D0B"/>
    <w:rsid w:val="0001599C"/>
    <w:rsid w:val="00016956"/>
    <w:rsid w:val="00016A94"/>
    <w:rsid w:val="00017542"/>
    <w:rsid w:val="0002257E"/>
    <w:rsid w:val="000254CF"/>
    <w:rsid w:val="00026BB2"/>
    <w:rsid w:val="00026FE6"/>
    <w:rsid w:val="000273C2"/>
    <w:rsid w:val="00035717"/>
    <w:rsid w:val="00036714"/>
    <w:rsid w:val="00036797"/>
    <w:rsid w:val="000368AE"/>
    <w:rsid w:val="00036B24"/>
    <w:rsid w:val="00036DF5"/>
    <w:rsid w:val="00040107"/>
    <w:rsid w:val="00044A21"/>
    <w:rsid w:val="000463FD"/>
    <w:rsid w:val="000474C9"/>
    <w:rsid w:val="00047FAA"/>
    <w:rsid w:val="00051A11"/>
    <w:rsid w:val="000522AF"/>
    <w:rsid w:val="0005500D"/>
    <w:rsid w:val="00055EEA"/>
    <w:rsid w:val="00060A1F"/>
    <w:rsid w:val="0006192B"/>
    <w:rsid w:val="00063363"/>
    <w:rsid w:val="00063A55"/>
    <w:rsid w:val="000717D3"/>
    <w:rsid w:val="00071D43"/>
    <w:rsid w:val="000748D6"/>
    <w:rsid w:val="000779FE"/>
    <w:rsid w:val="00082246"/>
    <w:rsid w:val="000834B4"/>
    <w:rsid w:val="00084801"/>
    <w:rsid w:val="00084BA9"/>
    <w:rsid w:val="00090B6B"/>
    <w:rsid w:val="000923C8"/>
    <w:rsid w:val="000925FA"/>
    <w:rsid w:val="00093478"/>
    <w:rsid w:val="00093976"/>
    <w:rsid w:val="000A3D37"/>
    <w:rsid w:val="000A578A"/>
    <w:rsid w:val="000A6BBE"/>
    <w:rsid w:val="000A7BB6"/>
    <w:rsid w:val="000B05FF"/>
    <w:rsid w:val="000B306E"/>
    <w:rsid w:val="000B421B"/>
    <w:rsid w:val="000B719E"/>
    <w:rsid w:val="000B7B3B"/>
    <w:rsid w:val="000C028B"/>
    <w:rsid w:val="000C41B2"/>
    <w:rsid w:val="000C489D"/>
    <w:rsid w:val="000D0E3B"/>
    <w:rsid w:val="000D0EB7"/>
    <w:rsid w:val="000D2312"/>
    <w:rsid w:val="000D283D"/>
    <w:rsid w:val="000D7675"/>
    <w:rsid w:val="000D792D"/>
    <w:rsid w:val="000F2D3C"/>
    <w:rsid w:val="000F35D0"/>
    <w:rsid w:val="000F4DA1"/>
    <w:rsid w:val="0010177D"/>
    <w:rsid w:val="00106010"/>
    <w:rsid w:val="00110632"/>
    <w:rsid w:val="0011271F"/>
    <w:rsid w:val="0011285F"/>
    <w:rsid w:val="00115027"/>
    <w:rsid w:val="001172E7"/>
    <w:rsid w:val="00124F7C"/>
    <w:rsid w:val="001277E1"/>
    <w:rsid w:val="0013019C"/>
    <w:rsid w:val="00132125"/>
    <w:rsid w:val="0013351B"/>
    <w:rsid w:val="001339A6"/>
    <w:rsid w:val="00140140"/>
    <w:rsid w:val="00140E26"/>
    <w:rsid w:val="00141C03"/>
    <w:rsid w:val="00142982"/>
    <w:rsid w:val="00143356"/>
    <w:rsid w:val="0014339D"/>
    <w:rsid w:val="0014482D"/>
    <w:rsid w:val="00145E80"/>
    <w:rsid w:val="001525F3"/>
    <w:rsid w:val="00155038"/>
    <w:rsid w:val="00156ECB"/>
    <w:rsid w:val="00157CDB"/>
    <w:rsid w:val="001611E8"/>
    <w:rsid w:val="00162D46"/>
    <w:rsid w:val="00162F02"/>
    <w:rsid w:val="00163EBB"/>
    <w:rsid w:val="001644C0"/>
    <w:rsid w:val="0016611A"/>
    <w:rsid w:val="00166170"/>
    <w:rsid w:val="00171497"/>
    <w:rsid w:val="001805E0"/>
    <w:rsid w:val="00192129"/>
    <w:rsid w:val="00195D36"/>
    <w:rsid w:val="00197670"/>
    <w:rsid w:val="001A132A"/>
    <w:rsid w:val="001A3D69"/>
    <w:rsid w:val="001A5286"/>
    <w:rsid w:val="001B0831"/>
    <w:rsid w:val="001C0713"/>
    <w:rsid w:val="001C49CC"/>
    <w:rsid w:val="001C71EE"/>
    <w:rsid w:val="001D1E70"/>
    <w:rsid w:val="001D5708"/>
    <w:rsid w:val="001D7297"/>
    <w:rsid w:val="001E0079"/>
    <w:rsid w:val="001E2CCA"/>
    <w:rsid w:val="001F380B"/>
    <w:rsid w:val="001F4522"/>
    <w:rsid w:val="001F454F"/>
    <w:rsid w:val="001F670B"/>
    <w:rsid w:val="00203B47"/>
    <w:rsid w:val="00205A99"/>
    <w:rsid w:val="00212F50"/>
    <w:rsid w:val="00215A64"/>
    <w:rsid w:val="0021692C"/>
    <w:rsid w:val="00220F4C"/>
    <w:rsid w:val="00221A6B"/>
    <w:rsid w:val="00222DEB"/>
    <w:rsid w:val="0022594C"/>
    <w:rsid w:val="00226D06"/>
    <w:rsid w:val="00226DC0"/>
    <w:rsid w:val="00235211"/>
    <w:rsid w:val="0023586D"/>
    <w:rsid w:val="0023693D"/>
    <w:rsid w:val="00241363"/>
    <w:rsid w:val="002441AC"/>
    <w:rsid w:val="00251E3E"/>
    <w:rsid w:val="002560A3"/>
    <w:rsid w:val="00263E27"/>
    <w:rsid w:val="00265607"/>
    <w:rsid w:val="00265ECD"/>
    <w:rsid w:val="00271E59"/>
    <w:rsid w:val="00272ACE"/>
    <w:rsid w:val="00273638"/>
    <w:rsid w:val="0027435E"/>
    <w:rsid w:val="00274867"/>
    <w:rsid w:val="00274D95"/>
    <w:rsid w:val="00276B2C"/>
    <w:rsid w:val="00284F51"/>
    <w:rsid w:val="002862F9"/>
    <w:rsid w:val="00295FC0"/>
    <w:rsid w:val="00296699"/>
    <w:rsid w:val="00297DE6"/>
    <w:rsid w:val="002A0F08"/>
    <w:rsid w:val="002A1A1A"/>
    <w:rsid w:val="002A2B4B"/>
    <w:rsid w:val="002A34D2"/>
    <w:rsid w:val="002A3A08"/>
    <w:rsid w:val="002A5658"/>
    <w:rsid w:val="002A7336"/>
    <w:rsid w:val="002B1B95"/>
    <w:rsid w:val="002C13B0"/>
    <w:rsid w:val="002C1E7E"/>
    <w:rsid w:val="002C3B82"/>
    <w:rsid w:val="002C64FD"/>
    <w:rsid w:val="002C6D52"/>
    <w:rsid w:val="002D2A17"/>
    <w:rsid w:val="002D656F"/>
    <w:rsid w:val="002E054D"/>
    <w:rsid w:val="002E4EAF"/>
    <w:rsid w:val="002F02D2"/>
    <w:rsid w:val="002F3B4F"/>
    <w:rsid w:val="002F5AD5"/>
    <w:rsid w:val="002F7EE9"/>
    <w:rsid w:val="00302BA2"/>
    <w:rsid w:val="00304D69"/>
    <w:rsid w:val="00305760"/>
    <w:rsid w:val="003061F5"/>
    <w:rsid w:val="00311090"/>
    <w:rsid w:val="00312176"/>
    <w:rsid w:val="00312CFA"/>
    <w:rsid w:val="003150D8"/>
    <w:rsid w:val="003163F1"/>
    <w:rsid w:val="0031647B"/>
    <w:rsid w:val="0031734F"/>
    <w:rsid w:val="003215E3"/>
    <w:rsid w:val="0032687E"/>
    <w:rsid w:val="003310B1"/>
    <w:rsid w:val="00331663"/>
    <w:rsid w:val="00332940"/>
    <w:rsid w:val="00336057"/>
    <w:rsid w:val="00336557"/>
    <w:rsid w:val="00340FF5"/>
    <w:rsid w:val="00343D94"/>
    <w:rsid w:val="003478D7"/>
    <w:rsid w:val="00352681"/>
    <w:rsid w:val="003534EA"/>
    <w:rsid w:val="003537E3"/>
    <w:rsid w:val="00353A93"/>
    <w:rsid w:val="00356DD8"/>
    <w:rsid w:val="00366393"/>
    <w:rsid w:val="00367C4A"/>
    <w:rsid w:val="00373F26"/>
    <w:rsid w:val="00375B53"/>
    <w:rsid w:val="00375D7C"/>
    <w:rsid w:val="00377655"/>
    <w:rsid w:val="00377752"/>
    <w:rsid w:val="0038296C"/>
    <w:rsid w:val="00382DBD"/>
    <w:rsid w:val="00385C49"/>
    <w:rsid w:val="003873D0"/>
    <w:rsid w:val="00394633"/>
    <w:rsid w:val="0039498A"/>
    <w:rsid w:val="00397BDF"/>
    <w:rsid w:val="003A4CAB"/>
    <w:rsid w:val="003A7B26"/>
    <w:rsid w:val="003B24E3"/>
    <w:rsid w:val="003B2846"/>
    <w:rsid w:val="003B4B7F"/>
    <w:rsid w:val="003B4CCA"/>
    <w:rsid w:val="003C798B"/>
    <w:rsid w:val="003D4132"/>
    <w:rsid w:val="003D6FFE"/>
    <w:rsid w:val="003D7038"/>
    <w:rsid w:val="003E3FC9"/>
    <w:rsid w:val="003E4558"/>
    <w:rsid w:val="003F2DC0"/>
    <w:rsid w:val="003F394F"/>
    <w:rsid w:val="00400636"/>
    <w:rsid w:val="004040CD"/>
    <w:rsid w:val="00405918"/>
    <w:rsid w:val="00407E17"/>
    <w:rsid w:val="00410104"/>
    <w:rsid w:val="004102DB"/>
    <w:rsid w:val="00410C5B"/>
    <w:rsid w:val="00414755"/>
    <w:rsid w:val="004151A0"/>
    <w:rsid w:val="00420097"/>
    <w:rsid w:val="0042226C"/>
    <w:rsid w:val="0042403C"/>
    <w:rsid w:val="004269A7"/>
    <w:rsid w:val="004314EF"/>
    <w:rsid w:val="0044069C"/>
    <w:rsid w:val="004443FA"/>
    <w:rsid w:val="00450CEA"/>
    <w:rsid w:val="00453B50"/>
    <w:rsid w:val="00455390"/>
    <w:rsid w:val="004556F7"/>
    <w:rsid w:val="00456063"/>
    <w:rsid w:val="00457EE9"/>
    <w:rsid w:val="00461A29"/>
    <w:rsid w:val="00462E55"/>
    <w:rsid w:val="004674B3"/>
    <w:rsid w:val="00467CDB"/>
    <w:rsid w:val="00470870"/>
    <w:rsid w:val="0047391D"/>
    <w:rsid w:val="004764B8"/>
    <w:rsid w:val="0047738F"/>
    <w:rsid w:val="00477D57"/>
    <w:rsid w:val="004825D6"/>
    <w:rsid w:val="004834B3"/>
    <w:rsid w:val="00487E4E"/>
    <w:rsid w:val="004951C1"/>
    <w:rsid w:val="00495B4C"/>
    <w:rsid w:val="004A6626"/>
    <w:rsid w:val="004B02AE"/>
    <w:rsid w:val="004B2C05"/>
    <w:rsid w:val="004C1C3E"/>
    <w:rsid w:val="004C23C3"/>
    <w:rsid w:val="004C4C6C"/>
    <w:rsid w:val="004C5045"/>
    <w:rsid w:val="004C5A2E"/>
    <w:rsid w:val="004D46D1"/>
    <w:rsid w:val="004D4F4E"/>
    <w:rsid w:val="004E6339"/>
    <w:rsid w:val="004E6838"/>
    <w:rsid w:val="004F128A"/>
    <w:rsid w:val="004F412E"/>
    <w:rsid w:val="004F5271"/>
    <w:rsid w:val="004F56BA"/>
    <w:rsid w:val="004F6610"/>
    <w:rsid w:val="004F67A3"/>
    <w:rsid w:val="00500FCA"/>
    <w:rsid w:val="00506BB8"/>
    <w:rsid w:val="00507681"/>
    <w:rsid w:val="00510151"/>
    <w:rsid w:val="0051061F"/>
    <w:rsid w:val="00513273"/>
    <w:rsid w:val="005229B9"/>
    <w:rsid w:val="005254BB"/>
    <w:rsid w:val="00526EBB"/>
    <w:rsid w:val="00530FFE"/>
    <w:rsid w:val="00532D5E"/>
    <w:rsid w:val="00533E77"/>
    <w:rsid w:val="00533EB2"/>
    <w:rsid w:val="0053658F"/>
    <w:rsid w:val="00543F8D"/>
    <w:rsid w:val="00545EA2"/>
    <w:rsid w:val="00550ECA"/>
    <w:rsid w:val="00554F8A"/>
    <w:rsid w:val="00557B69"/>
    <w:rsid w:val="00565D9B"/>
    <w:rsid w:val="00570E86"/>
    <w:rsid w:val="00571773"/>
    <w:rsid w:val="0057401C"/>
    <w:rsid w:val="00581737"/>
    <w:rsid w:val="00581BD6"/>
    <w:rsid w:val="00581E86"/>
    <w:rsid w:val="005828B8"/>
    <w:rsid w:val="00586F09"/>
    <w:rsid w:val="00590C5B"/>
    <w:rsid w:val="005911D9"/>
    <w:rsid w:val="00592525"/>
    <w:rsid w:val="00594812"/>
    <w:rsid w:val="00595859"/>
    <w:rsid w:val="005A05F2"/>
    <w:rsid w:val="005A29E3"/>
    <w:rsid w:val="005A5946"/>
    <w:rsid w:val="005B0BBD"/>
    <w:rsid w:val="005B0CD2"/>
    <w:rsid w:val="005B1D6D"/>
    <w:rsid w:val="005B2F8F"/>
    <w:rsid w:val="005B6383"/>
    <w:rsid w:val="005B6609"/>
    <w:rsid w:val="005B6C99"/>
    <w:rsid w:val="005C281F"/>
    <w:rsid w:val="005C426C"/>
    <w:rsid w:val="005C58BE"/>
    <w:rsid w:val="005C7429"/>
    <w:rsid w:val="005C74A7"/>
    <w:rsid w:val="005D2193"/>
    <w:rsid w:val="005D44D7"/>
    <w:rsid w:val="005D70F1"/>
    <w:rsid w:val="005D75C2"/>
    <w:rsid w:val="005E120B"/>
    <w:rsid w:val="005E24A3"/>
    <w:rsid w:val="005E4756"/>
    <w:rsid w:val="005E51FD"/>
    <w:rsid w:val="005E6B3D"/>
    <w:rsid w:val="005F3609"/>
    <w:rsid w:val="006003FE"/>
    <w:rsid w:val="00601D15"/>
    <w:rsid w:val="00605459"/>
    <w:rsid w:val="006057B4"/>
    <w:rsid w:val="00612C74"/>
    <w:rsid w:val="00614CEE"/>
    <w:rsid w:val="00615CC2"/>
    <w:rsid w:val="00620D43"/>
    <w:rsid w:val="00620EDE"/>
    <w:rsid w:val="00622760"/>
    <w:rsid w:val="00623A7D"/>
    <w:rsid w:val="006241E1"/>
    <w:rsid w:val="0062581E"/>
    <w:rsid w:val="00630A37"/>
    <w:rsid w:val="00634AA8"/>
    <w:rsid w:val="0063763F"/>
    <w:rsid w:val="00640502"/>
    <w:rsid w:val="0064335A"/>
    <w:rsid w:val="006433C1"/>
    <w:rsid w:val="00645043"/>
    <w:rsid w:val="00647D09"/>
    <w:rsid w:val="00654C0E"/>
    <w:rsid w:val="00654C36"/>
    <w:rsid w:val="006551E9"/>
    <w:rsid w:val="006553CA"/>
    <w:rsid w:val="00662926"/>
    <w:rsid w:val="00663052"/>
    <w:rsid w:val="0066341E"/>
    <w:rsid w:val="0066525F"/>
    <w:rsid w:val="006654D8"/>
    <w:rsid w:val="00665F29"/>
    <w:rsid w:val="00666904"/>
    <w:rsid w:val="00670F52"/>
    <w:rsid w:val="00671F2B"/>
    <w:rsid w:val="006759FF"/>
    <w:rsid w:val="00676022"/>
    <w:rsid w:val="00680709"/>
    <w:rsid w:val="0068126C"/>
    <w:rsid w:val="00683A33"/>
    <w:rsid w:val="00684D19"/>
    <w:rsid w:val="0068552C"/>
    <w:rsid w:val="00686707"/>
    <w:rsid w:val="00690454"/>
    <w:rsid w:val="00694DC0"/>
    <w:rsid w:val="00695C08"/>
    <w:rsid w:val="00696181"/>
    <w:rsid w:val="00697FC5"/>
    <w:rsid w:val="006B000C"/>
    <w:rsid w:val="006B6996"/>
    <w:rsid w:val="006B6DD1"/>
    <w:rsid w:val="006C1660"/>
    <w:rsid w:val="006C4E00"/>
    <w:rsid w:val="006C5F46"/>
    <w:rsid w:val="006D56D3"/>
    <w:rsid w:val="006D67D0"/>
    <w:rsid w:val="006E580B"/>
    <w:rsid w:val="006E79BC"/>
    <w:rsid w:val="006F0092"/>
    <w:rsid w:val="006F24F9"/>
    <w:rsid w:val="006F2C2A"/>
    <w:rsid w:val="006F45F2"/>
    <w:rsid w:val="006F597E"/>
    <w:rsid w:val="00702A2F"/>
    <w:rsid w:val="0070514E"/>
    <w:rsid w:val="00715313"/>
    <w:rsid w:val="00717E30"/>
    <w:rsid w:val="007240E9"/>
    <w:rsid w:val="00724851"/>
    <w:rsid w:val="0073128A"/>
    <w:rsid w:val="007429CA"/>
    <w:rsid w:val="00742B30"/>
    <w:rsid w:val="0074397B"/>
    <w:rsid w:val="00743F97"/>
    <w:rsid w:val="00746F0B"/>
    <w:rsid w:val="0074710F"/>
    <w:rsid w:val="00756D44"/>
    <w:rsid w:val="00763F77"/>
    <w:rsid w:val="0076545F"/>
    <w:rsid w:val="00765A04"/>
    <w:rsid w:val="00772802"/>
    <w:rsid w:val="00776641"/>
    <w:rsid w:val="00777024"/>
    <w:rsid w:val="00781370"/>
    <w:rsid w:val="00783311"/>
    <w:rsid w:val="007851DC"/>
    <w:rsid w:val="00785E15"/>
    <w:rsid w:val="00795E58"/>
    <w:rsid w:val="007A3D07"/>
    <w:rsid w:val="007A7842"/>
    <w:rsid w:val="007B12DA"/>
    <w:rsid w:val="007C01A5"/>
    <w:rsid w:val="007C1C4A"/>
    <w:rsid w:val="007C5650"/>
    <w:rsid w:val="007C663E"/>
    <w:rsid w:val="007D2BA3"/>
    <w:rsid w:val="007D2C57"/>
    <w:rsid w:val="007D40EC"/>
    <w:rsid w:val="007D6C38"/>
    <w:rsid w:val="007E1E44"/>
    <w:rsid w:val="007E2184"/>
    <w:rsid w:val="007E343D"/>
    <w:rsid w:val="007E47DA"/>
    <w:rsid w:val="007E4D1F"/>
    <w:rsid w:val="007E6188"/>
    <w:rsid w:val="007E713B"/>
    <w:rsid w:val="007F1570"/>
    <w:rsid w:val="007F1866"/>
    <w:rsid w:val="007F1A4B"/>
    <w:rsid w:val="007F1AC8"/>
    <w:rsid w:val="007F43EB"/>
    <w:rsid w:val="007F4E9E"/>
    <w:rsid w:val="007F6982"/>
    <w:rsid w:val="008010D6"/>
    <w:rsid w:val="008016EB"/>
    <w:rsid w:val="00803D1B"/>
    <w:rsid w:val="00804EB4"/>
    <w:rsid w:val="0080642A"/>
    <w:rsid w:val="00807171"/>
    <w:rsid w:val="008078D0"/>
    <w:rsid w:val="00811AF1"/>
    <w:rsid w:val="008128B5"/>
    <w:rsid w:val="00814601"/>
    <w:rsid w:val="00815F96"/>
    <w:rsid w:val="0081685B"/>
    <w:rsid w:val="00816A5B"/>
    <w:rsid w:val="00816D1F"/>
    <w:rsid w:val="00817162"/>
    <w:rsid w:val="00817163"/>
    <w:rsid w:val="00817418"/>
    <w:rsid w:val="008210E4"/>
    <w:rsid w:val="008211BF"/>
    <w:rsid w:val="00825D45"/>
    <w:rsid w:val="00826524"/>
    <w:rsid w:val="008279A6"/>
    <w:rsid w:val="008332E2"/>
    <w:rsid w:val="0083554C"/>
    <w:rsid w:val="00840DD7"/>
    <w:rsid w:val="008427B2"/>
    <w:rsid w:val="00842AD9"/>
    <w:rsid w:val="0084581F"/>
    <w:rsid w:val="00853904"/>
    <w:rsid w:val="008540A1"/>
    <w:rsid w:val="00854939"/>
    <w:rsid w:val="008555A0"/>
    <w:rsid w:val="00856058"/>
    <w:rsid w:val="0085606F"/>
    <w:rsid w:val="0085629B"/>
    <w:rsid w:val="008570B5"/>
    <w:rsid w:val="008638C6"/>
    <w:rsid w:val="00864B96"/>
    <w:rsid w:val="00864FB3"/>
    <w:rsid w:val="00865088"/>
    <w:rsid w:val="00866BF5"/>
    <w:rsid w:val="008677B0"/>
    <w:rsid w:val="00867F4D"/>
    <w:rsid w:val="00871DA4"/>
    <w:rsid w:val="00871E48"/>
    <w:rsid w:val="00875CD2"/>
    <w:rsid w:val="0088271B"/>
    <w:rsid w:val="008852D7"/>
    <w:rsid w:val="00886A60"/>
    <w:rsid w:val="0089032A"/>
    <w:rsid w:val="00891775"/>
    <w:rsid w:val="00894C9B"/>
    <w:rsid w:val="00896BD0"/>
    <w:rsid w:val="00897AF6"/>
    <w:rsid w:val="008A07FC"/>
    <w:rsid w:val="008A281B"/>
    <w:rsid w:val="008A2D4C"/>
    <w:rsid w:val="008A3B6F"/>
    <w:rsid w:val="008A3D72"/>
    <w:rsid w:val="008A4004"/>
    <w:rsid w:val="008A40A7"/>
    <w:rsid w:val="008A4EBF"/>
    <w:rsid w:val="008A60FC"/>
    <w:rsid w:val="008B2C4D"/>
    <w:rsid w:val="008B46B3"/>
    <w:rsid w:val="008B4F40"/>
    <w:rsid w:val="008C04E4"/>
    <w:rsid w:val="008C0CFC"/>
    <w:rsid w:val="008C0F25"/>
    <w:rsid w:val="008C3AAF"/>
    <w:rsid w:val="008D6CBB"/>
    <w:rsid w:val="008D7A92"/>
    <w:rsid w:val="008E3800"/>
    <w:rsid w:val="008E4D96"/>
    <w:rsid w:val="008E6129"/>
    <w:rsid w:val="008F62EC"/>
    <w:rsid w:val="009059E0"/>
    <w:rsid w:val="009063D0"/>
    <w:rsid w:val="009074DC"/>
    <w:rsid w:val="009126D1"/>
    <w:rsid w:val="00922F7B"/>
    <w:rsid w:val="00931661"/>
    <w:rsid w:val="00935556"/>
    <w:rsid w:val="00936ED2"/>
    <w:rsid w:val="0094160D"/>
    <w:rsid w:val="0094307B"/>
    <w:rsid w:val="00943D0F"/>
    <w:rsid w:val="0094471C"/>
    <w:rsid w:val="00944850"/>
    <w:rsid w:val="0094641E"/>
    <w:rsid w:val="00950054"/>
    <w:rsid w:val="00955DF1"/>
    <w:rsid w:val="00963BFE"/>
    <w:rsid w:val="00963DF1"/>
    <w:rsid w:val="009764D8"/>
    <w:rsid w:val="00980DB1"/>
    <w:rsid w:val="009821F6"/>
    <w:rsid w:val="00982566"/>
    <w:rsid w:val="00984187"/>
    <w:rsid w:val="00984CF5"/>
    <w:rsid w:val="00990E74"/>
    <w:rsid w:val="00992739"/>
    <w:rsid w:val="00993E7F"/>
    <w:rsid w:val="0099421C"/>
    <w:rsid w:val="009954D1"/>
    <w:rsid w:val="009A05A2"/>
    <w:rsid w:val="009A084D"/>
    <w:rsid w:val="009A21BE"/>
    <w:rsid w:val="009A36B9"/>
    <w:rsid w:val="009A7615"/>
    <w:rsid w:val="009A7692"/>
    <w:rsid w:val="009B01E0"/>
    <w:rsid w:val="009B0ADC"/>
    <w:rsid w:val="009B474E"/>
    <w:rsid w:val="009B6091"/>
    <w:rsid w:val="009B77FA"/>
    <w:rsid w:val="009C3C66"/>
    <w:rsid w:val="009C4833"/>
    <w:rsid w:val="009C4EE8"/>
    <w:rsid w:val="009C61A0"/>
    <w:rsid w:val="009C7322"/>
    <w:rsid w:val="009D0704"/>
    <w:rsid w:val="009D3AB1"/>
    <w:rsid w:val="009D5BC7"/>
    <w:rsid w:val="009D6682"/>
    <w:rsid w:val="009D782D"/>
    <w:rsid w:val="009E00CF"/>
    <w:rsid w:val="009E0780"/>
    <w:rsid w:val="009E3CEE"/>
    <w:rsid w:val="009E6196"/>
    <w:rsid w:val="009E7E2A"/>
    <w:rsid w:val="009F14D5"/>
    <w:rsid w:val="009F2895"/>
    <w:rsid w:val="009F35DF"/>
    <w:rsid w:val="009F3716"/>
    <w:rsid w:val="00A03188"/>
    <w:rsid w:val="00A06478"/>
    <w:rsid w:val="00A13C25"/>
    <w:rsid w:val="00A144BD"/>
    <w:rsid w:val="00A21140"/>
    <w:rsid w:val="00A2561E"/>
    <w:rsid w:val="00A265E1"/>
    <w:rsid w:val="00A317A3"/>
    <w:rsid w:val="00A326E0"/>
    <w:rsid w:val="00A32F5E"/>
    <w:rsid w:val="00A35003"/>
    <w:rsid w:val="00A37ACD"/>
    <w:rsid w:val="00A423F8"/>
    <w:rsid w:val="00A43450"/>
    <w:rsid w:val="00A46863"/>
    <w:rsid w:val="00A51703"/>
    <w:rsid w:val="00A51C4F"/>
    <w:rsid w:val="00A52FC7"/>
    <w:rsid w:val="00A604FD"/>
    <w:rsid w:val="00A61EC8"/>
    <w:rsid w:val="00A6748B"/>
    <w:rsid w:val="00A70EA4"/>
    <w:rsid w:val="00A71697"/>
    <w:rsid w:val="00A717FE"/>
    <w:rsid w:val="00A87707"/>
    <w:rsid w:val="00A90D64"/>
    <w:rsid w:val="00A977CB"/>
    <w:rsid w:val="00A97C6F"/>
    <w:rsid w:val="00AA14F7"/>
    <w:rsid w:val="00AA4AD0"/>
    <w:rsid w:val="00AA7CEF"/>
    <w:rsid w:val="00AB3AB5"/>
    <w:rsid w:val="00AB6E85"/>
    <w:rsid w:val="00AC0F6B"/>
    <w:rsid w:val="00AD2EE1"/>
    <w:rsid w:val="00AD3EE6"/>
    <w:rsid w:val="00AD406D"/>
    <w:rsid w:val="00AD4D58"/>
    <w:rsid w:val="00AD56F6"/>
    <w:rsid w:val="00AD6CBA"/>
    <w:rsid w:val="00AE08E4"/>
    <w:rsid w:val="00AE0D46"/>
    <w:rsid w:val="00AE1E85"/>
    <w:rsid w:val="00AE40CC"/>
    <w:rsid w:val="00AE600B"/>
    <w:rsid w:val="00AE637F"/>
    <w:rsid w:val="00AE7512"/>
    <w:rsid w:val="00AE7819"/>
    <w:rsid w:val="00AF1909"/>
    <w:rsid w:val="00AF25E7"/>
    <w:rsid w:val="00AF3F59"/>
    <w:rsid w:val="00AF502D"/>
    <w:rsid w:val="00AF5AD2"/>
    <w:rsid w:val="00B007D8"/>
    <w:rsid w:val="00B0603D"/>
    <w:rsid w:val="00B0732F"/>
    <w:rsid w:val="00B106E1"/>
    <w:rsid w:val="00B107C1"/>
    <w:rsid w:val="00B11AB3"/>
    <w:rsid w:val="00B12525"/>
    <w:rsid w:val="00B14131"/>
    <w:rsid w:val="00B20B6C"/>
    <w:rsid w:val="00B25258"/>
    <w:rsid w:val="00B31408"/>
    <w:rsid w:val="00B35BC4"/>
    <w:rsid w:val="00B37B49"/>
    <w:rsid w:val="00B37F57"/>
    <w:rsid w:val="00B4042B"/>
    <w:rsid w:val="00B411A9"/>
    <w:rsid w:val="00B415BC"/>
    <w:rsid w:val="00B45290"/>
    <w:rsid w:val="00B50D91"/>
    <w:rsid w:val="00B51173"/>
    <w:rsid w:val="00B52CCA"/>
    <w:rsid w:val="00B63B35"/>
    <w:rsid w:val="00B65AAD"/>
    <w:rsid w:val="00B670B8"/>
    <w:rsid w:val="00B67C5F"/>
    <w:rsid w:val="00B75A8B"/>
    <w:rsid w:val="00B75F85"/>
    <w:rsid w:val="00B802AE"/>
    <w:rsid w:val="00B80487"/>
    <w:rsid w:val="00B9565F"/>
    <w:rsid w:val="00BA2016"/>
    <w:rsid w:val="00BA3AF7"/>
    <w:rsid w:val="00BB269B"/>
    <w:rsid w:val="00BB4593"/>
    <w:rsid w:val="00BB764C"/>
    <w:rsid w:val="00BC3326"/>
    <w:rsid w:val="00BC3FB9"/>
    <w:rsid w:val="00BD00D7"/>
    <w:rsid w:val="00BD079D"/>
    <w:rsid w:val="00BE47D9"/>
    <w:rsid w:val="00BE56C0"/>
    <w:rsid w:val="00BE7851"/>
    <w:rsid w:val="00BF76C1"/>
    <w:rsid w:val="00C005CD"/>
    <w:rsid w:val="00C03D8C"/>
    <w:rsid w:val="00C064E2"/>
    <w:rsid w:val="00C13551"/>
    <w:rsid w:val="00C17561"/>
    <w:rsid w:val="00C20535"/>
    <w:rsid w:val="00C23DD7"/>
    <w:rsid w:val="00C24F94"/>
    <w:rsid w:val="00C26290"/>
    <w:rsid w:val="00C262AE"/>
    <w:rsid w:val="00C27C4D"/>
    <w:rsid w:val="00C31B52"/>
    <w:rsid w:val="00C347DD"/>
    <w:rsid w:val="00C36CB4"/>
    <w:rsid w:val="00C37337"/>
    <w:rsid w:val="00C4074D"/>
    <w:rsid w:val="00C40A41"/>
    <w:rsid w:val="00C45A56"/>
    <w:rsid w:val="00C460B7"/>
    <w:rsid w:val="00C47E2E"/>
    <w:rsid w:val="00C501AC"/>
    <w:rsid w:val="00C50DE4"/>
    <w:rsid w:val="00C51BB3"/>
    <w:rsid w:val="00C536FB"/>
    <w:rsid w:val="00C54467"/>
    <w:rsid w:val="00C62D55"/>
    <w:rsid w:val="00C62F0A"/>
    <w:rsid w:val="00C731BF"/>
    <w:rsid w:val="00C748E0"/>
    <w:rsid w:val="00C75ED9"/>
    <w:rsid w:val="00C81F8D"/>
    <w:rsid w:val="00C849F6"/>
    <w:rsid w:val="00C86218"/>
    <w:rsid w:val="00C94E9B"/>
    <w:rsid w:val="00CA34C5"/>
    <w:rsid w:val="00CA52EC"/>
    <w:rsid w:val="00CA58A7"/>
    <w:rsid w:val="00CB13E4"/>
    <w:rsid w:val="00CB5F60"/>
    <w:rsid w:val="00CC1914"/>
    <w:rsid w:val="00CC5B80"/>
    <w:rsid w:val="00CC5F73"/>
    <w:rsid w:val="00CD150E"/>
    <w:rsid w:val="00CD5A5B"/>
    <w:rsid w:val="00CD6414"/>
    <w:rsid w:val="00CD72D0"/>
    <w:rsid w:val="00CE05B2"/>
    <w:rsid w:val="00CE1155"/>
    <w:rsid w:val="00CE24A4"/>
    <w:rsid w:val="00CE4DA3"/>
    <w:rsid w:val="00CE566F"/>
    <w:rsid w:val="00CE66F7"/>
    <w:rsid w:val="00CE7E6B"/>
    <w:rsid w:val="00CF3FB5"/>
    <w:rsid w:val="00CF6B6A"/>
    <w:rsid w:val="00D02AA2"/>
    <w:rsid w:val="00D043C4"/>
    <w:rsid w:val="00D075C4"/>
    <w:rsid w:val="00D12294"/>
    <w:rsid w:val="00D21ADF"/>
    <w:rsid w:val="00D21C83"/>
    <w:rsid w:val="00D23192"/>
    <w:rsid w:val="00D30282"/>
    <w:rsid w:val="00D31AE5"/>
    <w:rsid w:val="00D343E5"/>
    <w:rsid w:val="00D35422"/>
    <w:rsid w:val="00D376F8"/>
    <w:rsid w:val="00D40C28"/>
    <w:rsid w:val="00D41D14"/>
    <w:rsid w:val="00D42F60"/>
    <w:rsid w:val="00D44DAE"/>
    <w:rsid w:val="00D47332"/>
    <w:rsid w:val="00D50879"/>
    <w:rsid w:val="00D51717"/>
    <w:rsid w:val="00D52062"/>
    <w:rsid w:val="00D523F7"/>
    <w:rsid w:val="00D55131"/>
    <w:rsid w:val="00D5566F"/>
    <w:rsid w:val="00D5611A"/>
    <w:rsid w:val="00D625A0"/>
    <w:rsid w:val="00D64B3D"/>
    <w:rsid w:val="00D701F2"/>
    <w:rsid w:val="00D74C49"/>
    <w:rsid w:val="00D7635E"/>
    <w:rsid w:val="00D84D51"/>
    <w:rsid w:val="00D91B0A"/>
    <w:rsid w:val="00DA24E7"/>
    <w:rsid w:val="00DA28A9"/>
    <w:rsid w:val="00DB0334"/>
    <w:rsid w:val="00DB03F2"/>
    <w:rsid w:val="00DB1BDE"/>
    <w:rsid w:val="00DB59EF"/>
    <w:rsid w:val="00DC06C1"/>
    <w:rsid w:val="00DC111D"/>
    <w:rsid w:val="00DC2450"/>
    <w:rsid w:val="00DD26AF"/>
    <w:rsid w:val="00DD29D0"/>
    <w:rsid w:val="00DD311F"/>
    <w:rsid w:val="00DD4F1B"/>
    <w:rsid w:val="00DD7971"/>
    <w:rsid w:val="00DE3847"/>
    <w:rsid w:val="00DE3D15"/>
    <w:rsid w:val="00DE740C"/>
    <w:rsid w:val="00DF1094"/>
    <w:rsid w:val="00DF4D6E"/>
    <w:rsid w:val="00DF51D2"/>
    <w:rsid w:val="00DF6338"/>
    <w:rsid w:val="00DF6D31"/>
    <w:rsid w:val="00DF7DC6"/>
    <w:rsid w:val="00E00858"/>
    <w:rsid w:val="00E00B79"/>
    <w:rsid w:val="00E01768"/>
    <w:rsid w:val="00E01AA1"/>
    <w:rsid w:val="00E02B4C"/>
    <w:rsid w:val="00E12082"/>
    <w:rsid w:val="00E15BF2"/>
    <w:rsid w:val="00E23544"/>
    <w:rsid w:val="00E254F9"/>
    <w:rsid w:val="00E255CF"/>
    <w:rsid w:val="00E305FB"/>
    <w:rsid w:val="00E310C8"/>
    <w:rsid w:val="00E3117F"/>
    <w:rsid w:val="00E3406C"/>
    <w:rsid w:val="00E407E5"/>
    <w:rsid w:val="00E40F89"/>
    <w:rsid w:val="00E41435"/>
    <w:rsid w:val="00E4166A"/>
    <w:rsid w:val="00E44CF3"/>
    <w:rsid w:val="00E462CA"/>
    <w:rsid w:val="00E46386"/>
    <w:rsid w:val="00E46B81"/>
    <w:rsid w:val="00E46FD2"/>
    <w:rsid w:val="00E50183"/>
    <w:rsid w:val="00E50E07"/>
    <w:rsid w:val="00E51BB5"/>
    <w:rsid w:val="00E54E3D"/>
    <w:rsid w:val="00E56620"/>
    <w:rsid w:val="00E57607"/>
    <w:rsid w:val="00E57C8F"/>
    <w:rsid w:val="00E603F1"/>
    <w:rsid w:val="00E61D37"/>
    <w:rsid w:val="00E631B8"/>
    <w:rsid w:val="00E66180"/>
    <w:rsid w:val="00E66449"/>
    <w:rsid w:val="00E66B0D"/>
    <w:rsid w:val="00E6785F"/>
    <w:rsid w:val="00E73776"/>
    <w:rsid w:val="00E80F45"/>
    <w:rsid w:val="00E83A27"/>
    <w:rsid w:val="00E84E7F"/>
    <w:rsid w:val="00E8685D"/>
    <w:rsid w:val="00E9443E"/>
    <w:rsid w:val="00E95DAF"/>
    <w:rsid w:val="00EA0CBA"/>
    <w:rsid w:val="00EA1782"/>
    <w:rsid w:val="00EA18F8"/>
    <w:rsid w:val="00EA2BD5"/>
    <w:rsid w:val="00EA63ED"/>
    <w:rsid w:val="00EB1884"/>
    <w:rsid w:val="00EB314D"/>
    <w:rsid w:val="00EC331C"/>
    <w:rsid w:val="00EC340B"/>
    <w:rsid w:val="00EC4075"/>
    <w:rsid w:val="00EC6459"/>
    <w:rsid w:val="00ED1081"/>
    <w:rsid w:val="00ED3310"/>
    <w:rsid w:val="00ED4588"/>
    <w:rsid w:val="00ED4F22"/>
    <w:rsid w:val="00ED5DE6"/>
    <w:rsid w:val="00EE1B96"/>
    <w:rsid w:val="00EE65BC"/>
    <w:rsid w:val="00EE7A44"/>
    <w:rsid w:val="00EF005C"/>
    <w:rsid w:val="00EF00D1"/>
    <w:rsid w:val="00EF1BBD"/>
    <w:rsid w:val="00EF27A9"/>
    <w:rsid w:val="00EF43DB"/>
    <w:rsid w:val="00EF7984"/>
    <w:rsid w:val="00F00408"/>
    <w:rsid w:val="00F0274C"/>
    <w:rsid w:val="00F03798"/>
    <w:rsid w:val="00F05886"/>
    <w:rsid w:val="00F06D26"/>
    <w:rsid w:val="00F17388"/>
    <w:rsid w:val="00F17893"/>
    <w:rsid w:val="00F20499"/>
    <w:rsid w:val="00F219CE"/>
    <w:rsid w:val="00F22613"/>
    <w:rsid w:val="00F27547"/>
    <w:rsid w:val="00F27BD6"/>
    <w:rsid w:val="00F30638"/>
    <w:rsid w:val="00F3110E"/>
    <w:rsid w:val="00F327C9"/>
    <w:rsid w:val="00F35951"/>
    <w:rsid w:val="00F375FE"/>
    <w:rsid w:val="00F43C45"/>
    <w:rsid w:val="00F4785D"/>
    <w:rsid w:val="00F4791C"/>
    <w:rsid w:val="00F511CA"/>
    <w:rsid w:val="00F513AD"/>
    <w:rsid w:val="00F528F2"/>
    <w:rsid w:val="00F529DE"/>
    <w:rsid w:val="00F5351A"/>
    <w:rsid w:val="00F5469B"/>
    <w:rsid w:val="00F56F17"/>
    <w:rsid w:val="00F60BD0"/>
    <w:rsid w:val="00F61B1F"/>
    <w:rsid w:val="00F65973"/>
    <w:rsid w:val="00F71078"/>
    <w:rsid w:val="00F73545"/>
    <w:rsid w:val="00F764B7"/>
    <w:rsid w:val="00F76B81"/>
    <w:rsid w:val="00F76FC2"/>
    <w:rsid w:val="00F808E9"/>
    <w:rsid w:val="00F82F86"/>
    <w:rsid w:val="00F85B9A"/>
    <w:rsid w:val="00F85F91"/>
    <w:rsid w:val="00F860A4"/>
    <w:rsid w:val="00F86D31"/>
    <w:rsid w:val="00F90090"/>
    <w:rsid w:val="00F91C0F"/>
    <w:rsid w:val="00F93409"/>
    <w:rsid w:val="00FA0792"/>
    <w:rsid w:val="00FA41E5"/>
    <w:rsid w:val="00FA4C4E"/>
    <w:rsid w:val="00FA5F64"/>
    <w:rsid w:val="00FA6A08"/>
    <w:rsid w:val="00FA71B1"/>
    <w:rsid w:val="00FA7929"/>
    <w:rsid w:val="00FB1ACF"/>
    <w:rsid w:val="00FB41A3"/>
    <w:rsid w:val="00FB7638"/>
    <w:rsid w:val="00FD156F"/>
    <w:rsid w:val="00FE123E"/>
    <w:rsid w:val="00FE14EB"/>
    <w:rsid w:val="00FE1F04"/>
    <w:rsid w:val="00FE5692"/>
    <w:rsid w:val="00FF2124"/>
    <w:rsid w:val="00FF29D8"/>
    <w:rsid w:val="00FF62D2"/>
    <w:rsid w:val="00FF6487"/>
    <w:rsid w:val="00FF70F1"/>
    <w:rsid w:val="125272B2"/>
    <w:rsid w:val="167F723C"/>
    <w:rsid w:val="53AF3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200" w:firstLineChars="200"/>
      <w:jc w:val="both"/>
    </w:pPr>
    <w:rPr>
      <w:rFonts w:ascii="宋体" w:hAnsi="宋体" w:eastAsia="宋体" w:cs="Times New Roman"/>
      <w:kern w:val="2"/>
      <w:sz w:val="28"/>
      <w:szCs w:val="24"/>
      <w:lang w:val="en-US" w:eastAsia="zh-CN" w:bidi="ar-SA"/>
    </w:rPr>
  </w:style>
  <w:style w:type="paragraph" w:styleId="2">
    <w:name w:val="heading 1"/>
    <w:basedOn w:val="1"/>
    <w:next w:val="1"/>
    <w:link w:val="27"/>
    <w:qFormat/>
    <w:uiPriority w:val="0"/>
    <w:pPr>
      <w:keepNext/>
      <w:keepLines/>
      <w:spacing w:before="100" w:beforeLines="100" w:line="520" w:lineRule="exact"/>
      <w:ind w:firstLine="0" w:firstLineChars="0"/>
      <w:jc w:val="center"/>
      <w:outlineLvl w:val="0"/>
    </w:pPr>
    <w:rPr>
      <w:rFonts w:hAnsi="Times New Roman"/>
      <w:b/>
      <w:bCs/>
      <w:kern w:val="44"/>
      <w:sz w:val="36"/>
      <w:szCs w:val="44"/>
    </w:rPr>
  </w:style>
  <w:style w:type="paragraph" w:styleId="3">
    <w:name w:val="heading 2"/>
    <w:basedOn w:val="1"/>
    <w:next w:val="1"/>
    <w:link w:val="45"/>
    <w:qFormat/>
    <w:uiPriority w:val="0"/>
    <w:pPr>
      <w:keepNext/>
      <w:keepLines/>
      <w:spacing w:before="50" w:beforeLines="50" w:after="50" w:afterLines="50"/>
      <w:ind w:firstLine="0" w:firstLineChars="0"/>
      <w:jc w:val="center"/>
      <w:outlineLvl w:val="1"/>
    </w:pPr>
    <w:rPr>
      <w:rFonts w:ascii="黑体" w:hAnsi="Cambria" w:eastAsia="黑体"/>
      <w:bCs/>
      <w:szCs w:val="32"/>
    </w:rPr>
  </w:style>
  <w:style w:type="paragraph" w:styleId="4">
    <w:name w:val="heading 3"/>
    <w:basedOn w:val="1"/>
    <w:next w:val="1"/>
    <w:link w:val="56"/>
    <w:qFormat/>
    <w:uiPriority w:val="0"/>
    <w:pPr>
      <w:keepNext/>
      <w:keepLines/>
      <w:outlineLvl w:val="2"/>
    </w:pPr>
    <w:rPr>
      <w:rFonts w:ascii="黑体" w:hAnsi="Times New Roman" w:eastAsia="黑体"/>
      <w:bCs/>
      <w:szCs w:val="32"/>
    </w:rPr>
  </w:style>
  <w:style w:type="character" w:default="1" w:styleId="21">
    <w:name w:val="Default Paragraph Font"/>
    <w:semiHidden/>
    <w:unhideWhenUsed/>
    <w:qFormat/>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50"/>
    <w:qFormat/>
    <w:uiPriority w:val="0"/>
    <w:rPr>
      <w:b/>
      <w:bCs/>
    </w:rPr>
  </w:style>
  <w:style w:type="paragraph" w:styleId="6">
    <w:name w:val="annotation text"/>
    <w:basedOn w:val="1"/>
    <w:link w:val="34"/>
    <w:qFormat/>
    <w:uiPriority w:val="0"/>
    <w:pPr>
      <w:jc w:val="left"/>
    </w:pPr>
  </w:style>
  <w:style w:type="paragraph" w:styleId="7">
    <w:name w:val="toc 7"/>
    <w:basedOn w:val="1"/>
    <w:next w:val="1"/>
    <w:unhideWhenUsed/>
    <w:qFormat/>
    <w:uiPriority w:val="39"/>
    <w:pPr>
      <w:spacing w:line="240" w:lineRule="auto"/>
      <w:ind w:left="2520" w:leftChars="1200" w:firstLine="0" w:firstLineChars="0"/>
    </w:pPr>
    <w:rPr>
      <w:rFonts w:ascii="Calibri" w:hAnsi="Calibri"/>
      <w:sz w:val="21"/>
      <w:szCs w:val="22"/>
    </w:rPr>
  </w:style>
  <w:style w:type="paragraph" w:styleId="8">
    <w:name w:val="toc 5"/>
    <w:basedOn w:val="1"/>
    <w:next w:val="1"/>
    <w:unhideWhenUsed/>
    <w:qFormat/>
    <w:uiPriority w:val="39"/>
    <w:pPr>
      <w:spacing w:line="240" w:lineRule="auto"/>
      <w:ind w:left="1680" w:leftChars="800" w:firstLine="0" w:firstLineChars="0"/>
    </w:pPr>
    <w:rPr>
      <w:rFonts w:ascii="Calibri" w:hAnsi="Calibri"/>
      <w:sz w:val="21"/>
      <w:szCs w:val="22"/>
    </w:rPr>
  </w:style>
  <w:style w:type="paragraph" w:styleId="9">
    <w:name w:val="toc 3"/>
    <w:basedOn w:val="1"/>
    <w:next w:val="1"/>
    <w:qFormat/>
    <w:uiPriority w:val="39"/>
    <w:pPr>
      <w:ind w:left="840" w:leftChars="400"/>
    </w:pPr>
  </w:style>
  <w:style w:type="paragraph" w:styleId="10">
    <w:name w:val="toc 8"/>
    <w:basedOn w:val="1"/>
    <w:next w:val="1"/>
    <w:unhideWhenUsed/>
    <w:qFormat/>
    <w:uiPriority w:val="39"/>
    <w:pPr>
      <w:spacing w:line="240" w:lineRule="auto"/>
      <w:ind w:left="2940" w:leftChars="1400" w:firstLine="0" w:firstLineChars="0"/>
    </w:pPr>
    <w:rPr>
      <w:rFonts w:ascii="Calibri" w:hAnsi="Calibri"/>
      <w:sz w:val="21"/>
      <w:szCs w:val="22"/>
    </w:rPr>
  </w:style>
  <w:style w:type="paragraph" w:styleId="11">
    <w:name w:val="Date"/>
    <w:basedOn w:val="1"/>
    <w:next w:val="1"/>
    <w:link w:val="44"/>
    <w:qFormat/>
    <w:uiPriority w:val="0"/>
    <w:pPr>
      <w:ind w:left="100" w:leftChars="2500"/>
    </w:pPr>
    <w:rPr>
      <w:rFonts w:hAnsi="Times New Roman"/>
    </w:rPr>
  </w:style>
  <w:style w:type="paragraph" w:styleId="12">
    <w:name w:val="Balloon Text"/>
    <w:basedOn w:val="1"/>
    <w:semiHidden/>
    <w:qFormat/>
    <w:uiPriority w:val="0"/>
    <w:rPr>
      <w:sz w:val="18"/>
      <w:szCs w:val="18"/>
    </w:rPr>
  </w:style>
  <w:style w:type="paragraph" w:styleId="13">
    <w:name w:val="footer"/>
    <w:basedOn w:val="1"/>
    <w:link w:val="41"/>
    <w:qFormat/>
    <w:uiPriority w:val="99"/>
    <w:pPr>
      <w:tabs>
        <w:tab w:val="center" w:pos="4153"/>
        <w:tab w:val="right" w:pos="8306"/>
      </w:tabs>
      <w:snapToGrid w:val="0"/>
      <w:jc w:val="left"/>
    </w:pPr>
    <w:rPr>
      <w:rFonts w:ascii="Times New Roman" w:hAnsi="Times New Roman"/>
      <w:sz w:val="18"/>
      <w:szCs w:val="18"/>
    </w:rPr>
  </w:style>
  <w:style w:type="paragraph" w:styleId="14">
    <w:name w:val="header"/>
    <w:basedOn w:val="1"/>
    <w:link w:val="33"/>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5">
    <w:name w:val="toc 1"/>
    <w:basedOn w:val="1"/>
    <w:next w:val="1"/>
    <w:qFormat/>
    <w:uiPriority w:val="39"/>
    <w:pPr>
      <w:spacing w:before="100" w:beforeLines="100"/>
    </w:pPr>
    <w:rPr>
      <w:rFonts w:ascii="黑体" w:eastAsia="黑体"/>
    </w:rPr>
  </w:style>
  <w:style w:type="paragraph" w:styleId="16">
    <w:name w:val="toc 4"/>
    <w:basedOn w:val="1"/>
    <w:next w:val="1"/>
    <w:unhideWhenUsed/>
    <w:qFormat/>
    <w:uiPriority w:val="39"/>
    <w:pPr>
      <w:spacing w:line="240" w:lineRule="auto"/>
      <w:ind w:left="1260" w:leftChars="600" w:firstLine="0" w:firstLineChars="0"/>
    </w:pPr>
    <w:rPr>
      <w:rFonts w:ascii="Calibri" w:hAnsi="Calibri"/>
      <w:sz w:val="21"/>
      <w:szCs w:val="22"/>
    </w:rPr>
  </w:style>
  <w:style w:type="paragraph" w:styleId="17">
    <w:name w:val="toc 6"/>
    <w:basedOn w:val="1"/>
    <w:next w:val="1"/>
    <w:unhideWhenUsed/>
    <w:qFormat/>
    <w:uiPriority w:val="39"/>
    <w:pPr>
      <w:spacing w:line="240" w:lineRule="auto"/>
      <w:ind w:left="2100" w:leftChars="1000" w:firstLine="0" w:firstLineChars="0"/>
    </w:pPr>
    <w:rPr>
      <w:rFonts w:ascii="Calibri" w:hAnsi="Calibri"/>
      <w:sz w:val="21"/>
      <w:szCs w:val="22"/>
    </w:rPr>
  </w:style>
  <w:style w:type="paragraph" w:styleId="18">
    <w:name w:val="toc 2"/>
    <w:basedOn w:val="1"/>
    <w:next w:val="1"/>
    <w:link w:val="53"/>
    <w:qFormat/>
    <w:uiPriority w:val="39"/>
    <w:pPr>
      <w:ind w:left="420" w:leftChars="200"/>
    </w:pPr>
  </w:style>
  <w:style w:type="paragraph" w:styleId="19">
    <w:name w:val="toc 9"/>
    <w:basedOn w:val="1"/>
    <w:next w:val="1"/>
    <w:unhideWhenUsed/>
    <w:qFormat/>
    <w:uiPriority w:val="39"/>
    <w:pPr>
      <w:spacing w:line="240" w:lineRule="auto"/>
      <w:ind w:left="3360" w:leftChars="1600" w:firstLine="0" w:firstLineChars="0"/>
    </w:pPr>
    <w:rPr>
      <w:rFonts w:ascii="Calibri" w:hAnsi="Calibri"/>
      <w:sz w:val="21"/>
      <w:szCs w:val="22"/>
    </w:rPr>
  </w:style>
  <w:style w:type="paragraph" w:styleId="20">
    <w:name w:val="Normal (Web)"/>
    <w:basedOn w:val="1"/>
    <w:qFormat/>
    <w:uiPriority w:val="99"/>
    <w:pPr>
      <w:widowControl/>
      <w:spacing w:before="100" w:beforeAutospacing="1" w:after="100" w:afterAutospacing="1" w:line="240" w:lineRule="auto"/>
      <w:ind w:firstLine="0" w:firstLineChars="0"/>
      <w:jc w:val="left"/>
    </w:pPr>
    <w:rPr>
      <w:rFonts w:ascii="Times New Roman" w:hAnsi="Times New Roman"/>
      <w:kern w:val="0"/>
      <w:sz w:val="24"/>
    </w:rPr>
  </w:style>
  <w:style w:type="character" w:styleId="22">
    <w:name w:val="Strong"/>
    <w:qFormat/>
    <w:uiPriority w:val="22"/>
    <w:rPr>
      <w:b/>
      <w:bCs/>
    </w:rPr>
  </w:style>
  <w:style w:type="character" w:styleId="23">
    <w:name w:val="Hyperlink"/>
    <w:unhideWhenUsed/>
    <w:qFormat/>
    <w:uiPriority w:val="99"/>
    <w:rPr>
      <w:color w:val="0000FF"/>
      <w:u w:val="single"/>
    </w:rPr>
  </w:style>
  <w:style w:type="character" w:styleId="24">
    <w:name w:val="annotation reference"/>
    <w:qFormat/>
    <w:uiPriority w:val="0"/>
    <w:rPr>
      <w:sz w:val="21"/>
      <w:szCs w:val="21"/>
    </w:rPr>
  </w:style>
  <w:style w:type="table" w:styleId="26">
    <w:name w:val="Table Grid"/>
    <w:basedOn w:val="2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7">
    <w:name w:val="标题 1 Char"/>
    <w:link w:val="2"/>
    <w:qFormat/>
    <w:uiPriority w:val="0"/>
    <w:rPr>
      <w:rFonts w:ascii="宋体"/>
      <w:b/>
      <w:bCs/>
      <w:kern w:val="44"/>
      <w:sz w:val="36"/>
      <w:szCs w:val="44"/>
    </w:rPr>
  </w:style>
  <w:style w:type="character" w:customStyle="1" w:styleId="28">
    <w:name w:val="text1"/>
    <w:qFormat/>
    <w:uiPriority w:val="0"/>
    <w:rPr>
      <w:rFonts w:hint="default" w:ascii="ˎ̥" w:hAnsi="ˎ̥"/>
      <w:color w:val="000000"/>
      <w:sz w:val="18"/>
      <w:szCs w:val="18"/>
    </w:rPr>
  </w:style>
  <w:style w:type="character" w:customStyle="1" w:styleId="29">
    <w:name w:val="样式1 Char"/>
    <w:link w:val="30"/>
    <w:qFormat/>
    <w:uiPriority w:val="0"/>
    <w:rPr>
      <w:rFonts w:ascii="黑体" w:eastAsia="黑体"/>
      <w:kern w:val="2"/>
      <w:sz w:val="28"/>
      <w:szCs w:val="24"/>
    </w:rPr>
  </w:style>
  <w:style w:type="paragraph" w:customStyle="1" w:styleId="30">
    <w:name w:val="样式1"/>
    <w:basedOn w:val="1"/>
    <w:link w:val="29"/>
    <w:qFormat/>
    <w:uiPriority w:val="0"/>
    <w:rPr>
      <w:rFonts w:ascii="黑体" w:hAnsi="Times New Roman" w:eastAsia="黑体"/>
    </w:rPr>
  </w:style>
  <w:style w:type="character" w:customStyle="1" w:styleId="31">
    <w:name w:val="落款发文单位 Char"/>
    <w:link w:val="32"/>
    <w:qFormat/>
    <w:uiPriority w:val="0"/>
    <w:rPr>
      <w:rFonts w:ascii="宋体" w:hAnsi="宋体"/>
      <w:kern w:val="2"/>
      <w:sz w:val="28"/>
      <w:szCs w:val="24"/>
    </w:rPr>
  </w:style>
  <w:style w:type="paragraph" w:customStyle="1" w:styleId="32">
    <w:name w:val="落款发文单位"/>
    <w:basedOn w:val="1"/>
    <w:next w:val="1"/>
    <w:link w:val="31"/>
    <w:qFormat/>
    <w:uiPriority w:val="0"/>
    <w:pPr>
      <w:spacing w:before="50" w:beforeLines="50"/>
      <w:ind w:left="1500" w:leftChars="1500" w:firstLine="0" w:firstLineChars="0"/>
      <w:jc w:val="left"/>
    </w:pPr>
  </w:style>
  <w:style w:type="character" w:customStyle="1" w:styleId="33">
    <w:name w:val="页眉 Char"/>
    <w:link w:val="14"/>
    <w:qFormat/>
    <w:uiPriority w:val="0"/>
    <w:rPr>
      <w:kern w:val="2"/>
      <w:sz w:val="18"/>
      <w:szCs w:val="18"/>
    </w:rPr>
  </w:style>
  <w:style w:type="character" w:customStyle="1" w:styleId="34">
    <w:name w:val="批注文字 Char"/>
    <w:link w:val="6"/>
    <w:uiPriority w:val="0"/>
    <w:rPr>
      <w:rFonts w:ascii="宋体" w:hAnsi="宋体"/>
      <w:kern w:val="2"/>
      <w:sz w:val="28"/>
      <w:szCs w:val="24"/>
    </w:rPr>
  </w:style>
  <w:style w:type="character" w:customStyle="1" w:styleId="35">
    <w:name w:val="引用 Char"/>
    <w:link w:val="36"/>
    <w:qFormat/>
    <w:uiPriority w:val="29"/>
    <w:rPr>
      <w:rFonts w:ascii="宋体"/>
      <w:i/>
      <w:iCs/>
      <w:color w:val="000000"/>
      <w:kern w:val="2"/>
      <w:sz w:val="28"/>
      <w:szCs w:val="24"/>
    </w:rPr>
  </w:style>
  <w:style w:type="paragraph" w:styleId="36">
    <w:name w:val="Quote"/>
    <w:basedOn w:val="1"/>
    <w:next w:val="1"/>
    <w:link w:val="35"/>
    <w:qFormat/>
    <w:uiPriority w:val="29"/>
    <w:rPr>
      <w:rFonts w:hAnsi="Times New Roman"/>
      <w:i/>
      <w:iCs/>
      <w:color w:val="000000"/>
    </w:rPr>
  </w:style>
  <w:style w:type="character" w:customStyle="1" w:styleId="37">
    <w:name w:val="粗体标题 Char"/>
    <w:link w:val="38"/>
    <w:qFormat/>
    <w:uiPriority w:val="0"/>
    <w:rPr>
      <w:rFonts w:ascii="黑体" w:eastAsia="黑体"/>
      <w:kern w:val="2"/>
      <w:sz w:val="28"/>
      <w:szCs w:val="24"/>
    </w:rPr>
  </w:style>
  <w:style w:type="paragraph" w:customStyle="1" w:styleId="38">
    <w:name w:val="粗体标题"/>
    <w:basedOn w:val="1"/>
    <w:link w:val="37"/>
    <w:qFormat/>
    <w:uiPriority w:val="0"/>
    <w:pPr>
      <w:ind w:firstLine="560"/>
    </w:pPr>
    <w:rPr>
      <w:rFonts w:ascii="黑体" w:hAnsi="Times New Roman" w:eastAsia="黑体"/>
    </w:rPr>
  </w:style>
  <w:style w:type="character" w:customStyle="1" w:styleId="39">
    <w:name w:val="落款日期 Char"/>
    <w:link w:val="40"/>
    <w:qFormat/>
    <w:uiPriority w:val="0"/>
    <w:rPr>
      <w:rFonts w:ascii="宋体"/>
      <w:kern w:val="2"/>
      <w:sz w:val="28"/>
      <w:szCs w:val="24"/>
    </w:rPr>
  </w:style>
  <w:style w:type="paragraph" w:customStyle="1" w:styleId="40">
    <w:name w:val="落款日期"/>
    <w:basedOn w:val="1"/>
    <w:next w:val="1"/>
    <w:link w:val="39"/>
    <w:qFormat/>
    <w:uiPriority w:val="0"/>
    <w:pPr>
      <w:ind w:right="200" w:rightChars="200" w:firstLine="0" w:firstLineChars="0"/>
      <w:jc w:val="right"/>
    </w:pPr>
    <w:rPr>
      <w:rFonts w:hAnsi="Times New Roman"/>
    </w:rPr>
  </w:style>
  <w:style w:type="character" w:customStyle="1" w:styleId="41">
    <w:name w:val="页脚 Char"/>
    <w:link w:val="13"/>
    <w:qFormat/>
    <w:uiPriority w:val="99"/>
    <w:rPr>
      <w:kern w:val="2"/>
      <w:sz w:val="18"/>
      <w:szCs w:val="18"/>
    </w:rPr>
  </w:style>
  <w:style w:type="character" w:customStyle="1" w:styleId="42">
    <w:name w:val="页眉或页脚 + Trebuchet MS"/>
    <w:qFormat/>
    <w:uiPriority w:val="0"/>
    <w:rPr>
      <w:rFonts w:ascii="Trebuchet MS" w:hAnsi="Trebuchet MS" w:eastAsia="Trebuchet MS" w:cs="Trebuchet MS"/>
      <w:color w:val="000000"/>
      <w:spacing w:val="0"/>
      <w:w w:val="100"/>
      <w:position w:val="0"/>
      <w:sz w:val="15"/>
      <w:szCs w:val="15"/>
      <w:u w:val="none"/>
    </w:rPr>
  </w:style>
  <w:style w:type="character" w:customStyle="1" w:styleId="43">
    <w:name w:val="页眉或页脚_"/>
    <w:qFormat/>
    <w:uiPriority w:val="0"/>
    <w:rPr>
      <w:rFonts w:ascii="MingLiU" w:hAnsi="MingLiU" w:eastAsia="MingLiU" w:cs="MingLiU"/>
      <w:sz w:val="29"/>
      <w:szCs w:val="29"/>
      <w:u w:val="none"/>
    </w:rPr>
  </w:style>
  <w:style w:type="character" w:customStyle="1" w:styleId="44">
    <w:name w:val="日期 Char"/>
    <w:link w:val="11"/>
    <w:qFormat/>
    <w:uiPriority w:val="0"/>
    <w:rPr>
      <w:rFonts w:ascii="宋体"/>
      <w:kern w:val="2"/>
      <w:sz w:val="28"/>
      <w:szCs w:val="24"/>
    </w:rPr>
  </w:style>
  <w:style w:type="character" w:customStyle="1" w:styleId="45">
    <w:name w:val="标题 2 Char"/>
    <w:link w:val="3"/>
    <w:qFormat/>
    <w:uiPriority w:val="0"/>
    <w:rPr>
      <w:rFonts w:ascii="黑体" w:hAnsi="Cambria" w:eastAsia="黑体"/>
      <w:bCs/>
      <w:kern w:val="2"/>
      <w:sz w:val="28"/>
      <w:szCs w:val="32"/>
    </w:rPr>
  </w:style>
  <w:style w:type="character" w:customStyle="1" w:styleId="46">
    <w:name w:val="楷体标题 Char"/>
    <w:link w:val="47"/>
    <w:qFormat/>
    <w:uiPriority w:val="0"/>
    <w:rPr>
      <w:rFonts w:ascii="楷体_GB2312" w:eastAsia="楷体_GB2312"/>
      <w:kern w:val="2"/>
      <w:sz w:val="28"/>
      <w:szCs w:val="24"/>
    </w:rPr>
  </w:style>
  <w:style w:type="paragraph" w:customStyle="1" w:styleId="47">
    <w:name w:val="楷体标题"/>
    <w:basedOn w:val="1"/>
    <w:link w:val="46"/>
    <w:qFormat/>
    <w:uiPriority w:val="0"/>
    <w:pPr>
      <w:ind w:firstLine="560"/>
    </w:pPr>
    <w:rPr>
      <w:rFonts w:ascii="楷体_GB2312" w:hAnsi="Times New Roman" w:eastAsia="楷体_GB2312"/>
    </w:rPr>
  </w:style>
  <w:style w:type="character" w:customStyle="1" w:styleId="48">
    <w:name w:val="（标题仿宋后缀） Char"/>
    <w:link w:val="49"/>
    <w:qFormat/>
    <w:uiPriority w:val="0"/>
    <w:rPr>
      <w:rFonts w:ascii="仿宋_GB2312" w:eastAsia="仿宋_GB2312"/>
      <w:kern w:val="2"/>
      <w:sz w:val="28"/>
      <w:szCs w:val="24"/>
    </w:rPr>
  </w:style>
  <w:style w:type="paragraph" w:customStyle="1" w:styleId="49">
    <w:name w:val="（标题仿宋后缀）"/>
    <w:basedOn w:val="1"/>
    <w:next w:val="1"/>
    <w:link w:val="48"/>
    <w:qFormat/>
    <w:uiPriority w:val="0"/>
    <w:pPr>
      <w:ind w:firstLine="0" w:firstLineChars="0"/>
      <w:jc w:val="center"/>
    </w:pPr>
    <w:rPr>
      <w:rFonts w:ascii="仿宋_GB2312" w:hAnsi="Times New Roman" w:eastAsia="仿宋_GB2312"/>
    </w:rPr>
  </w:style>
  <w:style w:type="character" w:customStyle="1" w:styleId="50">
    <w:name w:val="批注主题 Char"/>
    <w:link w:val="5"/>
    <w:qFormat/>
    <w:uiPriority w:val="0"/>
    <w:rPr>
      <w:rFonts w:ascii="宋体" w:hAnsi="宋体"/>
      <w:b/>
      <w:bCs/>
      <w:kern w:val="2"/>
      <w:sz w:val="28"/>
      <w:szCs w:val="24"/>
    </w:rPr>
  </w:style>
  <w:style w:type="character" w:customStyle="1" w:styleId="51">
    <w:name w:val="目录文号 Char"/>
    <w:link w:val="52"/>
    <w:qFormat/>
    <w:uiPriority w:val="0"/>
    <w:rPr>
      <w:rFonts w:ascii="楷体_GB2312" w:hAnsi="仿宋" w:eastAsia="楷体_GB2312"/>
      <w:kern w:val="2"/>
      <w:sz w:val="28"/>
      <w:szCs w:val="24"/>
    </w:rPr>
  </w:style>
  <w:style w:type="paragraph" w:customStyle="1" w:styleId="52">
    <w:name w:val="目录文号"/>
    <w:basedOn w:val="18"/>
    <w:link w:val="51"/>
    <w:qFormat/>
    <w:uiPriority w:val="0"/>
    <w:pPr>
      <w:tabs>
        <w:tab w:val="right" w:leader="dot" w:pos="8504"/>
      </w:tabs>
      <w:ind w:left="560" w:firstLine="840" w:firstLineChars="300"/>
    </w:pPr>
    <w:rPr>
      <w:rFonts w:ascii="楷体_GB2312" w:hAnsi="仿宋" w:eastAsia="楷体_GB2312"/>
    </w:rPr>
  </w:style>
  <w:style w:type="character" w:customStyle="1" w:styleId="53">
    <w:name w:val="目录 2 Char"/>
    <w:link w:val="18"/>
    <w:qFormat/>
    <w:uiPriority w:val="39"/>
    <w:rPr>
      <w:rFonts w:ascii="宋体" w:hAnsi="宋体"/>
      <w:kern w:val="2"/>
      <w:sz w:val="28"/>
      <w:szCs w:val="24"/>
    </w:rPr>
  </w:style>
  <w:style w:type="character" w:customStyle="1" w:styleId="54">
    <w:name w:val="（标题楷体后缀） Char"/>
    <w:link w:val="55"/>
    <w:qFormat/>
    <w:uiPriority w:val="0"/>
    <w:rPr>
      <w:rFonts w:ascii="楷体_GB2312" w:eastAsia="楷体_GB2312"/>
      <w:kern w:val="2"/>
      <w:sz w:val="28"/>
      <w:szCs w:val="24"/>
    </w:rPr>
  </w:style>
  <w:style w:type="paragraph" w:customStyle="1" w:styleId="55">
    <w:name w:val="（标题楷体后缀）"/>
    <w:basedOn w:val="1"/>
    <w:next w:val="1"/>
    <w:link w:val="54"/>
    <w:qFormat/>
    <w:uiPriority w:val="0"/>
    <w:pPr>
      <w:ind w:firstLine="0" w:firstLineChars="0"/>
      <w:jc w:val="center"/>
    </w:pPr>
    <w:rPr>
      <w:rFonts w:ascii="楷体_GB2312" w:hAnsi="Times New Roman" w:eastAsia="楷体_GB2312"/>
    </w:rPr>
  </w:style>
  <w:style w:type="character" w:customStyle="1" w:styleId="56">
    <w:name w:val="标题 3 Char"/>
    <w:link w:val="4"/>
    <w:qFormat/>
    <w:uiPriority w:val="0"/>
    <w:rPr>
      <w:rFonts w:ascii="黑体" w:eastAsia="黑体"/>
      <w:bCs/>
      <w:kern w:val="2"/>
      <w:sz w:val="28"/>
      <w:szCs w:val="32"/>
    </w:rPr>
  </w:style>
  <w:style w:type="character" w:customStyle="1" w:styleId="57">
    <w:name w:val="表格文字 Char"/>
    <w:link w:val="58"/>
    <w:qFormat/>
    <w:uiPriority w:val="0"/>
    <w:rPr>
      <w:rFonts w:ascii="宋体" w:hAnsi="ˎ̥" w:cs="宋体"/>
      <w:sz w:val="21"/>
      <w:szCs w:val="32"/>
    </w:rPr>
  </w:style>
  <w:style w:type="paragraph" w:customStyle="1" w:styleId="58">
    <w:name w:val="表格文字"/>
    <w:basedOn w:val="1"/>
    <w:link w:val="57"/>
    <w:qFormat/>
    <w:uiPriority w:val="0"/>
    <w:pPr>
      <w:widowControl/>
      <w:topLinePunct/>
      <w:adjustRightInd w:val="0"/>
      <w:spacing w:before="100" w:beforeAutospacing="1" w:after="100" w:afterAutospacing="1" w:line="360" w:lineRule="exact"/>
      <w:ind w:firstLine="0" w:firstLineChars="0"/>
      <w:jc w:val="left"/>
    </w:pPr>
    <w:rPr>
      <w:rFonts w:hAnsi="ˎ̥"/>
      <w:kern w:val="0"/>
      <w:sz w:val="21"/>
      <w:szCs w:val="32"/>
    </w:rPr>
  </w:style>
  <w:style w:type="character" w:customStyle="1" w:styleId="59">
    <w:name w:val="页眉或页脚"/>
    <w:qFormat/>
    <w:uiPriority w:val="0"/>
    <w:rPr>
      <w:rFonts w:ascii="MingLiU" w:hAnsi="MingLiU" w:eastAsia="MingLiU" w:cs="MingLiU"/>
      <w:color w:val="000000"/>
      <w:spacing w:val="0"/>
      <w:w w:val="100"/>
      <w:position w:val="0"/>
      <w:sz w:val="29"/>
      <w:szCs w:val="29"/>
      <w:u w:val="none"/>
      <w:lang w:val="zh-TW"/>
    </w:rPr>
  </w:style>
  <w:style w:type="paragraph" w:customStyle="1" w:styleId="60">
    <w:name w:val="TOC Heading"/>
    <w:basedOn w:val="2"/>
    <w:next w:val="1"/>
    <w:qFormat/>
    <w:uiPriority w:val="39"/>
    <w:pPr>
      <w:widowControl/>
      <w:spacing w:before="480" w:beforeLines="0" w:line="276" w:lineRule="auto"/>
      <w:jc w:val="left"/>
      <w:outlineLvl w:val="9"/>
    </w:pPr>
    <w:rPr>
      <w:rFonts w:ascii="Cambria" w:hAnsi="Cambria"/>
      <w:color w:val="365F91"/>
      <w:kern w:val="0"/>
      <w:sz w:val="28"/>
      <w:szCs w:val="28"/>
    </w:rPr>
  </w:style>
  <w:style w:type="paragraph" w:customStyle="1" w:styleId="61">
    <w:name w:val="center"/>
    <w:basedOn w:val="1"/>
    <w:qFormat/>
    <w:uiPriority w:val="0"/>
    <w:pPr>
      <w:widowControl/>
      <w:spacing w:before="100" w:beforeAutospacing="1" w:after="100" w:afterAutospacing="1" w:line="240" w:lineRule="auto"/>
      <w:ind w:firstLine="0" w:firstLineChars="0"/>
      <w:jc w:val="left"/>
    </w:pPr>
    <w:rPr>
      <w:rFonts w:cs="宋体"/>
      <w:kern w:val="0"/>
      <w:sz w:val="24"/>
    </w:rPr>
  </w:style>
  <w:style w:type="paragraph" w:customStyle="1" w:styleId="62">
    <w:name w:val="right"/>
    <w:basedOn w:val="1"/>
    <w:qFormat/>
    <w:uiPriority w:val="0"/>
    <w:pPr>
      <w:widowControl/>
      <w:spacing w:before="100" w:beforeAutospacing="1" w:after="100" w:afterAutospacing="1" w:line="240" w:lineRule="auto"/>
      <w:ind w:firstLine="0" w:firstLineChars="0"/>
      <w:jc w:val="left"/>
    </w:pPr>
    <w:rPr>
      <w:rFonts w:cs="宋体"/>
      <w:kern w:val="0"/>
      <w:sz w:val="24"/>
    </w:rPr>
  </w:style>
  <w:style w:type="paragraph" w:customStyle="1" w:styleId="63">
    <w:name w:val="p0"/>
    <w:basedOn w:val="1"/>
    <w:qFormat/>
    <w:uiPriority w:val="0"/>
    <w:pPr>
      <w:widowControl/>
      <w:spacing w:line="240" w:lineRule="auto"/>
      <w:ind w:firstLine="0" w:firstLineChars="0"/>
    </w:pPr>
    <w:rPr>
      <w:rFonts w:ascii="Times New Roman" w:hAnsi="Times New Roman" w:eastAsia="Arial Unicode MS"/>
      <w:kern w:val="0"/>
      <w:sz w:val="21"/>
      <w:szCs w:val="21"/>
    </w:rPr>
  </w:style>
  <w:style w:type="paragraph" w:styleId="64">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489</Words>
  <Characters>2791</Characters>
  <Lines>23</Lines>
  <Paragraphs>6</Paragraphs>
  <TotalTime>1</TotalTime>
  <ScaleCrop>false</ScaleCrop>
  <LinksUpToDate>false</LinksUpToDate>
  <CharactersWithSpaces>3274</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2018-08-20T08:58:00Z</dcterms:created>
  <dc:creator>hew</dc:creator>
  <cp:lastModifiedBy>李肖力</cp:lastModifiedBy>
  <cp:lastPrinted>2018-08-28T06:38:00Z</cp:lastPrinted>
  <dcterms:modified xsi:type="dcterms:W3CDTF">2018-12-27T03:31:16Z</dcterms:modified>
  <dc:title>2012年深圳市基础研究项目</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