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left"/>
        <w:rPr>
          <w:rFonts w:hint="eastAsia" w:ascii="Times New Roman" w:hAnsi="Times New Roman" w:eastAsia="仿宋_GB2312" w:cs="Times New Roman"/>
          <w:bCs w:val="0"/>
          <w:kern w:val="2"/>
          <w:sz w:val="32"/>
          <w:szCs w:val="24"/>
          <w:lang w:val="en-US" w:eastAsia="zh-CN" w:bidi="ar-SA"/>
        </w:rPr>
      </w:pPr>
      <w:r>
        <w:rPr>
          <w:rFonts w:hint="eastAsia" w:ascii="Times New Roman" w:hAnsi="Times New Roman" w:eastAsia="仿宋_GB2312" w:cs="Times New Roman"/>
          <w:bCs w:val="0"/>
          <w:kern w:val="2"/>
          <w:sz w:val="32"/>
          <w:szCs w:val="24"/>
          <w:lang w:val="en-US" w:eastAsia="zh-CN" w:bidi="ar-SA"/>
        </w:rPr>
        <w:t>附件</w:t>
      </w:r>
      <w:r>
        <w:rPr>
          <w:rFonts w:hint="eastAsia" w:ascii="Times New Roman" w:hAnsi="Times New Roman" w:eastAsia="仿宋_GB2312" w:cs="Times New Roman"/>
          <w:bCs w:val="0"/>
          <w:kern w:val="2"/>
          <w:sz w:val="32"/>
          <w:szCs w:val="24"/>
          <w:lang w:val="en-US" w:eastAsia="zh-CN" w:bidi="ar-SA"/>
        </w:rPr>
        <w:t>2</w:t>
      </w:r>
    </w:p>
    <w:p>
      <w:pPr>
        <w:pStyle w:val="11"/>
        <w:rPr>
          <w:rFonts w:hint="eastAsia"/>
          <w:szCs w:val="22"/>
        </w:rPr>
      </w:pPr>
    </w:p>
    <w:p>
      <w:pPr>
        <w:pStyle w:val="11"/>
        <w:rPr>
          <w:szCs w:val="22"/>
        </w:rPr>
      </w:pPr>
      <w:bookmarkStart w:id="0" w:name="_GoBack"/>
      <w:bookmarkEnd w:id="0"/>
      <w:r>
        <w:rPr>
          <w:rFonts w:hint="eastAsia"/>
          <w:szCs w:val="22"/>
        </w:rPr>
        <w:t>《深圳市关于进一步促进科技成果产业化的</w:t>
      </w:r>
    </w:p>
    <w:p>
      <w:pPr>
        <w:pStyle w:val="11"/>
        <w:rPr>
          <w:szCs w:val="22"/>
        </w:rPr>
      </w:pPr>
      <w:r>
        <w:rPr>
          <w:rFonts w:hint="eastAsia"/>
          <w:szCs w:val="22"/>
        </w:rPr>
        <w:t>若干措施》起草说明</w:t>
      </w:r>
    </w:p>
    <w:p>
      <w:pPr>
        <w:ind w:firstLine="0" w:firstLineChars="0"/>
      </w:pPr>
    </w:p>
    <w:p>
      <w:pPr>
        <w:spacing w:line="560" w:lineRule="exact"/>
        <w:ind w:firstLine="707" w:firstLineChars="221"/>
        <w:jc w:val="left"/>
      </w:pPr>
      <w:r>
        <w:rPr>
          <w:rFonts w:hint="eastAsia"/>
        </w:rPr>
        <w:t>为深化科技供给侧结构性改革，建立符合市场经济和科技创新发展规律的科技成果产业化体系，完善“基础研究+技术攻关+成果产业化+科技金融+人才支撑”全过程创新生态链，强化科技创新对高质量发展的支撑作用，我委起草了《深圳市关于进一步促进科技成果产业化的若干措施（征求意见稿）》（以下简称《若干措施》），现就有关情况说明如下：</w:t>
      </w:r>
    </w:p>
    <w:p>
      <w:pPr>
        <w:pStyle w:val="2"/>
        <w:ind w:firstLine="640"/>
      </w:pPr>
      <w:r>
        <w:rPr>
          <w:rFonts w:hint="eastAsia"/>
        </w:rPr>
        <w:t>一、制定背景</w:t>
      </w:r>
    </w:p>
    <w:p>
      <w:pPr>
        <w:spacing w:line="560" w:lineRule="exact"/>
        <w:ind w:firstLine="707" w:firstLineChars="221"/>
        <w:jc w:val="left"/>
        <w:rPr>
          <w:rFonts w:hint="eastAsia" w:ascii="仿宋_GB2312" w:hAnsi="仿宋" w:cs="仿宋_GB2312"/>
          <w:szCs w:val="32"/>
          <w:lang w:val="en-US" w:eastAsia="zh-CN"/>
        </w:rPr>
      </w:pPr>
      <w:r>
        <w:rPr>
          <w:rFonts w:hint="eastAsia" w:ascii="仿宋_GB2312" w:hAnsi="仿宋" w:cs="仿宋_GB2312"/>
          <w:szCs w:val="32"/>
          <w:lang w:val="en-US" w:eastAsia="zh-CN"/>
        </w:rPr>
        <w:t>习近平总书记在深圳经济特区建立40周年庆祝大会中指出，“要坚定不移实施创新驱动发展战略，培育新动能，提升新势能，建设具有全球影响力的科技和产业创新高地” 。科技成果产业化是实施创新驱动发展战略的重要任务之一，是创新生态链条中极为重要的环节，是成果价值实现的过程，是解决科技与经济“两张皮”的有效途径。</w:t>
      </w:r>
    </w:p>
    <w:p>
      <w:pPr>
        <w:spacing w:line="560" w:lineRule="exact"/>
        <w:ind w:firstLine="707" w:firstLineChars="221"/>
        <w:jc w:val="left"/>
        <w:rPr>
          <w:rFonts w:hint="eastAsia" w:ascii="仿宋_GB2312" w:hAnsi="仿宋" w:cs="仿宋_GB2312"/>
          <w:szCs w:val="32"/>
          <w:lang w:val="en-US" w:eastAsia="zh-CN"/>
        </w:rPr>
      </w:pPr>
      <w:r>
        <w:rPr>
          <w:rFonts w:hint="eastAsia" w:ascii="仿宋_GB2312" w:hAnsi="仿宋" w:cs="仿宋_GB2312"/>
          <w:szCs w:val="32"/>
          <w:lang w:val="en-US" w:eastAsia="zh-CN"/>
        </w:rPr>
        <w:t>为深入学习贯彻习近平总书记出席深圳经济特区建立40周年庆祝大会和视察广东重要讲话、重要指示精神，更好落实《中华人民共和国促进科技成果转化法》和《深圳经济特区科技创新条例》等相关法律法规要求，进一步激发各类创新主体科技成果产业化积极性和创造性，推进科技成果更加快速有效地转化为现实生产力，把更多科技成果应用在经济社会发展主战场，在全球科技革命和产业变革中赢得主动权，制定《若干措施》。</w:t>
      </w:r>
    </w:p>
    <w:p>
      <w:pPr>
        <w:pStyle w:val="2"/>
        <w:ind w:firstLine="640"/>
      </w:pPr>
      <w:r>
        <w:rPr>
          <w:rFonts w:hint="eastAsia"/>
        </w:rPr>
        <w:t>二、起草过程</w:t>
      </w:r>
    </w:p>
    <w:p>
      <w:pPr>
        <w:ind w:firstLine="640"/>
      </w:pPr>
      <w:r>
        <w:rPr>
          <w:rStyle w:val="24"/>
          <w:rFonts w:hint="eastAsia"/>
        </w:rPr>
        <w:t>一是认真梳理政策文件。</w:t>
      </w:r>
      <w:r>
        <w:rPr>
          <w:rFonts w:hint="eastAsia"/>
        </w:rPr>
        <w:t>深入学习研究国家、广东省关于科技成果产业化的重要政策文件和相关要求，力求全面落实相关政策要求。梳理了北京市、上海市、成都市、重庆市等近20个省市近期出台的科技成果产业化相关政策文件，广泛学习借鉴各兄弟省市经验做法，</w:t>
      </w:r>
      <w:r>
        <w:rPr>
          <w:rFonts w:hint="eastAsia"/>
          <w:lang w:val="en-US" w:eastAsia="zh-CN"/>
        </w:rPr>
        <w:t>力争政策</w:t>
      </w:r>
      <w:r>
        <w:rPr>
          <w:rFonts w:hint="eastAsia"/>
        </w:rPr>
        <w:t>最优。</w:t>
      </w:r>
    </w:p>
    <w:p>
      <w:pPr>
        <w:ind w:firstLine="640"/>
      </w:pPr>
      <w:r>
        <w:rPr>
          <w:rStyle w:val="24"/>
          <w:rFonts w:hint="eastAsia"/>
        </w:rPr>
        <w:t>二是开展深入调研。</w:t>
      </w:r>
      <w:r>
        <w:rPr>
          <w:rFonts w:hint="eastAsia"/>
        </w:rPr>
        <w:t>连续组织召开高新技术企业座谈会、深港科技创新合作区入驻企业座谈会、科技服务企业座谈会，深入调研多家高校、研究院及技术转移转化相关单位，充分了解我市在促进科技成果产业化中存在的难点、痛点。</w:t>
      </w:r>
    </w:p>
    <w:p>
      <w:pPr>
        <w:ind w:firstLine="640"/>
        <w:rPr>
          <w:rFonts w:hint="default"/>
          <w:lang w:val="en-US"/>
        </w:rPr>
      </w:pPr>
      <w:r>
        <w:rPr>
          <w:rStyle w:val="24"/>
          <w:rFonts w:hint="eastAsia"/>
        </w:rPr>
        <w:t>三是全面</w:t>
      </w:r>
      <w:r>
        <w:rPr>
          <w:rStyle w:val="24"/>
          <w:rFonts w:hint="eastAsia" w:eastAsia="楷体_GB2312"/>
          <w:lang w:val="en-US" w:eastAsia="zh-CN"/>
        </w:rPr>
        <w:t>征集</w:t>
      </w:r>
      <w:r>
        <w:rPr>
          <w:rStyle w:val="24"/>
          <w:rFonts w:hint="eastAsia"/>
        </w:rPr>
        <w:t>问题</w:t>
      </w:r>
      <w:r>
        <w:rPr>
          <w:rStyle w:val="24"/>
          <w:rFonts w:hint="eastAsia" w:eastAsia="楷体_GB2312"/>
          <w:lang w:val="en-US" w:eastAsia="zh-CN"/>
        </w:rPr>
        <w:t>建议</w:t>
      </w:r>
      <w:r>
        <w:rPr>
          <w:rStyle w:val="24"/>
          <w:rFonts w:hint="eastAsia"/>
        </w:rPr>
        <w:t>。</w:t>
      </w:r>
      <w:r>
        <w:rPr>
          <w:rFonts w:hint="eastAsia"/>
        </w:rPr>
        <w:t>为充分了解我市科技成果转化和产业化实施改革情况，提高政策制订的精准性，我委通过在线发放《科技成果转化和产业化政策调查表》开展问卷调查，共获得近5</w:t>
      </w:r>
      <w:r>
        <w:t>0</w:t>
      </w:r>
      <w:r>
        <w:rPr>
          <w:rFonts w:hint="eastAsia"/>
        </w:rPr>
        <w:t>份市内高校、科研院所、企业、服务机构问卷反馈，征集相关意见18条。</w:t>
      </w:r>
      <w:r>
        <w:rPr>
          <w:rFonts w:hint="eastAsia"/>
          <w:lang w:val="en-US" w:eastAsia="zh-CN"/>
        </w:rPr>
        <w:t>并组织召开了《若干措施》征求意见座谈会，听取创新主体建议意见。《若干措施》征求了市发改委、工信局、市场监管局等部门意见，共收到反馈意见3条，全部采纳；征求了委内各处、各事业单位意见，共收到反馈意见6条，采纳4条，未采纳2条，未采纳都做了说明。</w:t>
      </w:r>
    </w:p>
    <w:p>
      <w:pPr>
        <w:pStyle w:val="2"/>
        <w:ind w:firstLine="640"/>
      </w:pPr>
      <w:r>
        <w:rPr>
          <w:rFonts w:hint="eastAsia"/>
        </w:rPr>
        <w:t>三、起草思路</w:t>
      </w:r>
    </w:p>
    <w:p>
      <w:pPr>
        <w:ind w:firstLine="640"/>
      </w:pPr>
      <w:r>
        <w:rPr>
          <w:rFonts w:hint="eastAsia"/>
        </w:rPr>
        <w:t>《若干措施》坚持问题导向、需求导向、结果导向，围绕我市科技成果产业化成果不优、过程不畅、支撑不够、动力不足等问题，从源头、过程、服务、体制四个方面，</w:t>
      </w:r>
      <w:r>
        <w:rPr>
          <w:rFonts w:hint="eastAsia"/>
          <w:lang w:val="en-US" w:eastAsia="zh-CN"/>
        </w:rPr>
        <w:t>提出</w:t>
      </w:r>
      <w:r>
        <w:rPr>
          <w:rFonts w:hint="eastAsia"/>
        </w:rPr>
        <w:t>“四</w:t>
      </w:r>
      <w:r>
        <w:rPr>
          <w:rFonts w:hint="eastAsia"/>
          <w:lang w:val="en-US" w:eastAsia="zh-CN"/>
        </w:rPr>
        <w:t>大</w:t>
      </w:r>
      <w:r>
        <w:rPr>
          <w:rFonts w:hint="eastAsia"/>
        </w:rPr>
        <w:t>工程</w:t>
      </w:r>
      <w:r>
        <w:t>”</w:t>
      </w:r>
      <w:r>
        <w:rPr>
          <w:rFonts w:hint="eastAsia"/>
          <w:lang w:eastAsia="zh-CN"/>
        </w:rPr>
        <w:t>“</w:t>
      </w:r>
      <w:r>
        <w:rPr>
          <w:rFonts w:hint="eastAsia"/>
          <w:lang w:val="en-US" w:eastAsia="zh-CN"/>
        </w:rPr>
        <w:t>15项计划</w:t>
      </w:r>
      <w:r>
        <w:rPr>
          <w:rFonts w:hint="eastAsia"/>
          <w:lang w:eastAsia="zh-CN"/>
        </w:rPr>
        <w:t>”</w:t>
      </w:r>
      <w:r>
        <w:rPr>
          <w:rFonts w:hint="eastAsia"/>
        </w:rPr>
        <w:t>，为我市科技成果产业化提出全面的政策支持，以期达到高质量成果大量涌现、成果产业化顺利实施、成果产业化服务优化、成果产业化动力十足的预期效果。</w:t>
      </w:r>
    </w:p>
    <w:p>
      <w:pPr>
        <w:pStyle w:val="2"/>
        <w:ind w:firstLine="640"/>
      </w:pPr>
      <w:r>
        <w:rPr>
          <w:rFonts w:hint="eastAsia"/>
        </w:rPr>
        <w:t>四、主要内容及创新点</w:t>
      </w:r>
    </w:p>
    <w:p>
      <w:pPr>
        <w:ind w:firstLine="640" w:firstLineChars="0"/>
      </w:pPr>
      <w:r>
        <w:rPr>
          <w:rStyle w:val="24"/>
          <w:rFonts w:hint="eastAsia"/>
        </w:rPr>
        <w:t>（一）实施高质量成果“创造工程”。</w:t>
      </w:r>
      <w:r>
        <w:rPr>
          <w:rStyle w:val="24"/>
          <w:rFonts w:hint="eastAsia" w:ascii="仿宋_GB2312" w:eastAsia="仿宋_GB2312"/>
          <w:b/>
          <w:bCs/>
        </w:rPr>
        <w:t>建立</w:t>
      </w:r>
      <w:r>
        <w:rPr>
          <w:rFonts w:hint="eastAsia"/>
          <w:b/>
          <w:bCs/>
        </w:rPr>
        <w:t>多渠道、多层次、多方式基础研究投入机制</w:t>
      </w:r>
      <w:r>
        <w:rPr>
          <w:rFonts w:hint="eastAsia"/>
        </w:rPr>
        <w:t>，通过</w:t>
      </w:r>
      <w:r>
        <w:rPr>
          <w:rFonts w:hint="eastAsia" w:ascii="仿宋_GB2312" w:hAnsi="仿宋_GB2312" w:cs="仿宋_GB2312"/>
          <w:szCs w:val="32"/>
        </w:rPr>
        <w:t>不低于</w:t>
      </w:r>
      <w:r>
        <w:rPr>
          <w:rFonts w:ascii="仿宋_GB2312" w:hAnsi="仿宋_GB2312" w:cs="仿宋_GB2312"/>
          <w:szCs w:val="32"/>
        </w:rPr>
        <w:t>30%</w:t>
      </w:r>
      <w:r>
        <w:rPr>
          <w:rFonts w:hint="eastAsia" w:ascii="仿宋_GB2312" w:hAnsi="仿宋_GB2312" w:cs="仿宋_GB2312"/>
          <w:szCs w:val="32"/>
        </w:rPr>
        <w:t>的市级科技研发资金稳定支持</w:t>
      </w:r>
      <w:r>
        <w:rPr>
          <w:rFonts w:hint="eastAsia"/>
        </w:rPr>
        <w:t>、</w:t>
      </w:r>
      <w:r>
        <w:rPr>
          <w:rFonts w:hint="eastAsia" w:ascii="仿宋_GB2312" w:hAnsi="仿宋_GB2312" w:cs="仿宋_GB2312"/>
          <w:szCs w:val="32"/>
        </w:rPr>
        <w:t>省市</w:t>
      </w:r>
      <w:r>
        <w:rPr>
          <w:rFonts w:ascii="仿宋_GB2312" w:hAnsi="仿宋_GB2312" w:cs="仿宋_GB2312"/>
          <w:szCs w:val="32"/>
        </w:rPr>
        <w:t>基金</w:t>
      </w:r>
      <w:r>
        <w:rPr>
          <w:rFonts w:hint="eastAsia" w:ascii="仿宋_GB2312" w:hAnsi="仿宋_GB2312" w:cs="仿宋_GB2312"/>
          <w:szCs w:val="32"/>
        </w:rPr>
        <w:t>联动</w:t>
      </w:r>
      <w:r>
        <w:rPr>
          <w:rFonts w:hint="eastAsia"/>
        </w:rPr>
        <w:t>和社会资本投入等，形成多方合力，以实现更多“从0到1”的重大成果突破；</w:t>
      </w:r>
      <w:r>
        <w:rPr>
          <w:rFonts w:hint="eastAsia"/>
          <w:b/>
          <w:bCs/>
        </w:rPr>
        <w:t>实施矩阵式布局、“链长制”</w:t>
      </w:r>
      <w:r>
        <w:rPr>
          <w:rFonts w:hint="eastAsia"/>
        </w:rPr>
        <w:t>、“</w:t>
      </w:r>
      <w:r>
        <w:rPr>
          <w:rFonts w:hint="eastAsia"/>
          <w:b/>
          <w:bCs/>
        </w:rPr>
        <w:t>悬赏制”和重大科技基础设施预研专项</w:t>
      </w:r>
      <w:r>
        <w:rPr>
          <w:rFonts w:hint="eastAsia"/>
        </w:rPr>
        <w:t>，强化企业主体地位，聚焦国家战略需要，围绕产业链布局创新链，在重点领域实现</w:t>
      </w:r>
      <w:r>
        <w:rPr>
          <w:rFonts w:hint="eastAsia" w:ascii="仿宋_GB2312" w:hAnsi="仿宋_GB2312" w:cs="仿宋_GB2312"/>
          <w:szCs w:val="32"/>
        </w:rPr>
        <w:t>关键核心技术</w:t>
      </w:r>
      <w:r>
        <w:rPr>
          <w:rFonts w:hint="eastAsia"/>
        </w:rPr>
        <w:t>突破；</w:t>
      </w:r>
      <w:r>
        <w:rPr>
          <w:rFonts w:hint="eastAsia"/>
          <w:b/>
          <w:bCs/>
        </w:rPr>
        <w:t>深化境内外研发联动，</w:t>
      </w:r>
      <w:r>
        <w:rPr>
          <w:rFonts w:hint="eastAsia"/>
        </w:rPr>
        <w:t>创新“科学家</w:t>
      </w:r>
      <w:r>
        <w:t>+</w:t>
      </w:r>
      <w:r>
        <w:rPr>
          <w:rFonts w:hint="eastAsia"/>
        </w:rPr>
        <w:t>工程专家</w:t>
      </w:r>
      <w:r>
        <w:t>+</w:t>
      </w:r>
      <w:r>
        <w:rPr>
          <w:rFonts w:hint="eastAsia"/>
        </w:rPr>
        <w:t>研发团队”组织模式，允许资金跨境使用，推动科技成果转化跨区域、跨国界合作。</w:t>
      </w:r>
    </w:p>
    <w:p>
      <w:pPr>
        <w:tabs>
          <w:tab w:val="left" w:pos="6237"/>
        </w:tabs>
        <w:ind w:firstLine="640" w:firstLineChars="0"/>
        <w:rPr>
          <w:rFonts w:eastAsia="楷体_GB2312"/>
          <w:kern w:val="28"/>
          <w:szCs w:val="32"/>
        </w:rPr>
      </w:pPr>
      <w:r>
        <w:rPr>
          <w:rStyle w:val="24"/>
          <w:rFonts w:hint="eastAsia"/>
        </w:rPr>
        <w:t>（二）实施成果产业化“畅通工程”。</w:t>
      </w:r>
      <w:r>
        <w:rPr>
          <w:rFonts w:hint="eastAsia"/>
          <w:b/>
          <w:bCs/>
        </w:rPr>
        <w:t>支持建立概念验证中心</w:t>
      </w:r>
      <w:r>
        <w:rPr>
          <w:rFonts w:hint="eastAsia"/>
        </w:rPr>
        <w:t>，研判科技成果产业化的价值及可能性，解决高校科研成果与可市场化成果之间的鸿沟；</w:t>
      </w:r>
      <w:r>
        <w:rPr>
          <w:rFonts w:hint="eastAsia"/>
          <w:b/>
          <w:bCs/>
        </w:rPr>
        <w:t>加大</w:t>
      </w:r>
      <w:r>
        <w:rPr>
          <w:rFonts w:hint="eastAsia" w:ascii="仿宋_GB2312" w:hAnsi="仿宋_GB2312" w:cs="仿宋_GB2312"/>
          <w:b/>
          <w:bCs/>
          <w:szCs w:val="32"/>
        </w:rPr>
        <w:t>小试中试基地服务</w:t>
      </w:r>
      <w:r>
        <w:rPr>
          <w:rFonts w:hint="eastAsia"/>
          <w:b/>
          <w:bCs/>
        </w:rPr>
        <w:t>支持力度</w:t>
      </w:r>
      <w:r>
        <w:rPr>
          <w:rFonts w:hint="eastAsia" w:ascii="仿宋_GB2312" w:hAnsiTheme="majorEastAsia" w:cstheme="majorEastAsia"/>
          <w:bCs/>
          <w:szCs w:val="32"/>
        </w:rPr>
        <w:t>，</w:t>
      </w:r>
      <w:r>
        <w:rPr>
          <w:rFonts w:hint="eastAsia" w:ascii="仿宋_GB2312" w:hAnsi="仿宋_GB2312" w:cs="仿宋_GB2312"/>
          <w:szCs w:val="32"/>
        </w:rPr>
        <w:t>给予开展实验室成果开发和优化、投产前试验或者试生产服务的小试中试基地最高50万元资助，</w:t>
      </w:r>
      <w:r>
        <w:rPr>
          <w:rFonts w:hint="eastAsia" w:ascii="仿宋_GB2312" w:hAnsiTheme="majorEastAsia" w:cstheme="majorEastAsia"/>
          <w:bCs/>
          <w:szCs w:val="32"/>
        </w:rPr>
        <w:t>鼓励龙头企业牵头建设中试服务平台基地；</w:t>
      </w:r>
      <w:r>
        <w:rPr>
          <w:rFonts w:hint="eastAsia" w:ascii="仿宋_GB2312" w:hAnsiTheme="majorEastAsia" w:cstheme="majorEastAsia"/>
          <w:b/>
          <w:szCs w:val="32"/>
        </w:rPr>
        <w:t>加大科技成果应用示范推广</w:t>
      </w:r>
      <w:r>
        <w:rPr>
          <w:rFonts w:hint="eastAsia" w:ascii="仿宋_GB2312" w:hAnsiTheme="majorEastAsia" w:cstheme="majorEastAsia"/>
          <w:bCs/>
          <w:szCs w:val="32"/>
        </w:rPr>
        <w:t>，对重点领域实施应用场景与应用示范项目给予最高</w:t>
      </w:r>
      <w:r>
        <w:rPr>
          <w:rFonts w:hint="eastAsia" w:ascii="仿宋_GB2312" w:hAnsi="仿宋_GB2312" w:cs="仿宋_GB2312"/>
          <w:szCs w:val="32"/>
        </w:rPr>
        <w:t>1000万元资助；</w:t>
      </w:r>
      <w:r>
        <w:rPr>
          <w:rFonts w:hint="eastAsia" w:ascii="仿宋_GB2312" w:hAnsiTheme="majorEastAsia" w:cstheme="majorEastAsia"/>
          <w:b/>
          <w:szCs w:val="32"/>
        </w:rPr>
        <w:t>实施创新产品采购制度</w:t>
      </w:r>
      <w:r>
        <w:rPr>
          <w:rFonts w:hint="eastAsia" w:ascii="仿宋_GB2312" w:hAnsiTheme="majorEastAsia" w:cstheme="majorEastAsia"/>
          <w:bCs/>
          <w:szCs w:val="32"/>
        </w:rPr>
        <w:t>，允许</w:t>
      </w:r>
      <w:r>
        <w:rPr>
          <w:rFonts w:ascii="仿宋_GB2312" w:hAnsi="仿宋_GB2312" w:cs="仿宋_GB2312"/>
          <w:szCs w:val="32"/>
        </w:rPr>
        <w:t>采取非招标方式</w:t>
      </w:r>
      <w:r>
        <w:rPr>
          <w:rFonts w:hint="eastAsia" w:ascii="仿宋_GB2312" w:hAnsi="仿宋_GB2312" w:cs="仿宋_GB2312"/>
          <w:szCs w:val="32"/>
        </w:rPr>
        <w:t>开展</w:t>
      </w:r>
      <w:r>
        <w:rPr>
          <w:rFonts w:ascii="仿宋_GB2312" w:hAnsi="仿宋_GB2312" w:cs="仿宋_GB2312"/>
          <w:szCs w:val="32"/>
        </w:rPr>
        <w:t>国有资金采购创新产品和服务</w:t>
      </w:r>
      <w:r>
        <w:rPr>
          <w:rFonts w:hint="eastAsia" w:ascii="仿宋_GB2312" w:hAnsiTheme="majorEastAsia" w:cstheme="majorEastAsia"/>
          <w:bCs/>
          <w:szCs w:val="32"/>
        </w:rPr>
        <w:t>；</w:t>
      </w:r>
      <w:r>
        <w:rPr>
          <w:rFonts w:hint="eastAsia" w:ascii="仿宋_GB2312" w:hAnsiTheme="majorEastAsia" w:cstheme="majorEastAsia"/>
          <w:b/>
          <w:szCs w:val="32"/>
        </w:rPr>
        <w:t>创新性建立成果跟踪反馈机制</w:t>
      </w:r>
      <w:r>
        <w:rPr>
          <w:rFonts w:hint="eastAsia" w:ascii="仿宋_GB2312" w:hAnsiTheme="majorEastAsia" w:cstheme="majorEastAsia"/>
          <w:bCs/>
          <w:szCs w:val="32"/>
        </w:rPr>
        <w:t>，强调“科学（S）—技术（T）—工程（E）”的双向互动，形成科技与产业螺旋上升、同频共振。</w:t>
      </w:r>
    </w:p>
    <w:p>
      <w:pPr>
        <w:spacing w:line="540" w:lineRule="exact"/>
        <w:ind w:firstLine="640"/>
      </w:pPr>
      <w:r>
        <w:rPr>
          <w:rStyle w:val="24"/>
        </w:rPr>
        <w:t>（三</w:t>
      </w:r>
      <w:r>
        <w:rPr>
          <w:rStyle w:val="24"/>
          <w:rFonts w:hint="eastAsia"/>
        </w:rPr>
        <w:t>）实施成果产业化“支撑工程</w:t>
      </w:r>
      <w:r>
        <w:rPr>
          <w:rStyle w:val="24"/>
        </w:rPr>
        <w:t>”。</w:t>
      </w:r>
      <w:r>
        <w:rPr>
          <w:rFonts w:hint="eastAsia"/>
          <w:b/>
          <w:bCs/>
        </w:rPr>
        <w:t>提升技术转移服务活跃度，</w:t>
      </w:r>
      <w:r>
        <w:rPr>
          <w:rFonts w:hint="eastAsia"/>
        </w:rPr>
        <w:t>对经认定</w:t>
      </w:r>
      <w:r>
        <w:rPr>
          <w:rFonts w:hint="eastAsia" w:ascii="仿宋_GB2312" w:hAnsi="仿宋_GB2312" w:cs="仿宋_GB2312"/>
          <w:szCs w:val="32"/>
        </w:rPr>
        <w:t>技术转移示范机构给予最高1</w:t>
      </w:r>
      <w:r>
        <w:rPr>
          <w:rFonts w:ascii="仿宋_GB2312" w:hAnsi="仿宋_GB2312" w:cs="仿宋_GB2312"/>
          <w:szCs w:val="32"/>
        </w:rPr>
        <w:t>00</w:t>
      </w:r>
      <w:r>
        <w:rPr>
          <w:rFonts w:hint="eastAsia" w:ascii="仿宋_GB2312" w:hAnsi="仿宋_GB2312" w:cs="仿宋_GB2312"/>
          <w:szCs w:val="32"/>
        </w:rPr>
        <w:t>万奖励，对开展的技术转移服务费用按年度给予最高100 万元资助，对经登记认定的技术合同卖方或者受托方给予最高200万元资助，对开展人才培养活动给予最高30万元资助；</w:t>
      </w:r>
      <w:r>
        <w:rPr>
          <w:rFonts w:hint="eastAsia"/>
          <w:b/>
          <w:bCs/>
        </w:rPr>
        <w:t>构建多级技术转移对接网络</w:t>
      </w:r>
      <w:r>
        <w:rPr>
          <w:rFonts w:hint="eastAsia"/>
        </w:rPr>
        <w:t>，</w:t>
      </w:r>
      <w:r>
        <w:rPr>
          <w:rFonts w:hint="eastAsia" w:ascii="仿宋_GB2312" w:hAnsi="仿宋_GB2312" w:cs="仿宋_GB2312"/>
          <w:szCs w:val="32"/>
        </w:rPr>
        <w:t>形成市、区（园区）、重点机构“核心节点</w:t>
      </w:r>
      <w:r>
        <w:rPr>
          <w:rFonts w:ascii="仿宋_GB2312" w:hAnsi="仿宋_GB2312" w:cs="仿宋_GB2312"/>
          <w:szCs w:val="32"/>
        </w:rPr>
        <w:t>+区域分节点+专业分节点”三级有机融合</w:t>
      </w:r>
      <w:r>
        <w:rPr>
          <w:rFonts w:hint="eastAsia" w:ascii="仿宋_GB2312" w:hAnsi="仿宋_GB2312" w:cs="仿宋_GB2312"/>
          <w:szCs w:val="32"/>
        </w:rPr>
        <w:t>，</w:t>
      </w:r>
      <w:r>
        <w:rPr>
          <w:rFonts w:hint="eastAsia"/>
        </w:rPr>
        <w:t>打造科技成果转移转化公共服务平台；</w:t>
      </w:r>
      <w:r>
        <w:rPr>
          <w:rFonts w:hint="eastAsia"/>
          <w:b/>
          <w:bCs/>
        </w:rPr>
        <w:t>构建全国性知识产权和科技成果产权交易平台，</w:t>
      </w:r>
      <w:r>
        <w:rPr>
          <w:rFonts w:hint="eastAsia" w:ascii="仿宋_GB2312" w:hAnsi="仿宋_GB2312" w:cs="仿宋_GB2312"/>
          <w:szCs w:val="32"/>
        </w:rPr>
        <w:t>开展知识产权和科技成果产权交易、知识产权证券化、股权转让、跨境交易等业务</w:t>
      </w:r>
      <w:r>
        <w:rPr>
          <w:rFonts w:hint="eastAsia"/>
        </w:rPr>
        <w:t>；</w:t>
      </w:r>
      <w:r>
        <w:rPr>
          <w:rFonts w:hint="eastAsia"/>
          <w:b/>
          <w:bCs/>
        </w:rPr>
        <w:t>大力支持知识产权证券化</w:t>
      </w:r>
      <w:r>
        <w:rPr>
          <w:rFonts w:hint="eastAsia"/>
        </w:rPr>
        <w:t>，</w:t>
      </w:r>
      <w:r>
        <w:rPr>
          <w:rFonts w:hint="eastAsia" w:ascii="仿宋_GB2312" w:hAnsi="仿宋_GB2312" w:cs="仿宋_GB2312"/>
          <w:szCs w:val="32"/>
        </w:rPr>
        <w:t>对成功发行知识产权证券化产品的企业和提供知识产权证券化服务的中介服务机构，予以资金奖励</w:t>
      </w:r>
      <w:r>
        <w:rPr>
          <w:rFonts w:hint="eastAsia"/>
        </w:rPr>
        <w:t>；</w:t>
      </w:r>
      <w:r>
        <w:rPr>
          <w:rFonts w:hint="eastAsia"/>
          <w:b/>
          <w:bCs/>
        </w:rPr>
        <w:t>建立科研资金与市场资本的联动机制</w:t>
      </w:r>
      <w:r>
        <w:rPr>
          <w:rFonts w:hint="eastAsia"/>
        </w:rPr>
        <w:t>，</w:t>
      </w:r>
      <w:r>
        <w:rPr>
          <w:rFonts w:hint="eastAsia" w:ascii="仿宋_GB2312" w:hAnsi="仿宋_GB2312" w:cs="仿宋_GB2312"/>
          <w:szCs w:val="32"/>
        </w:rPr>
        <w:t>引导和促进南方创投网投资联盟成员单位对市科技研发资金资助项目提供融资服务</w:t>
      </w:r>
      <w:r>
        <w:rPr>
          <w:rFonts w:hint="eastAsia"/>
        </w:rPr>
        <w:t>。</w:t>
      </w:r>
    </w:p>
    <w:p>
      <w:pPr>
        <w:ind w:firstLine="640"/>
      </w:pPr>
      <w:r>
        <w:rPr>
          <w:rStyle w:val="24"/>
          <w:rFonts w:hint="eastAsia"/>
        </w:rPr>
        <w:t>（四）实施成果产业化机制“突破工程”。</w:t>
      </w:r>
      <w:r>
        <w:rPr>
          <w:rFonts w:hint="eastAsia"/>
          <w:b/>
          <w:bCs/>
        </w:rPr>
        <w:t>开展成果权属改革试点</w:t>
      </w:r>
      <w:r>
        <w:rPr>
          <w:rFonts w:hint="eastAsia"/>
        </w:rPr>
        <w:t>，</w:t>
      </w:r>
      <w:r>
        <w:rPr>
          <w:rFonts w:hint="eastAsia" w:ascii="仿宋_GB2312" w:hAnsi="仿宋_GB2312" w:cs="仿宋_GB2312"/>
          <w:szCs w:val="32"/>
        </w:rPr>
        <w:t>采取“先试点后推广”模式，对全部或者主要利用财政性资金取得职务科技成果赋予完成人或者团队科技成果所有权或者长期使用权</w:t>
      </w:r>
      <w:r>
        <w:rPr>
          <w:rFonts w:hint="eastAsia"/>
        </w:rPr>
        <w:t>；</w:t>
      </w:r>
      <w:r>
        <w:rPr>
          <w:rFonts w:hint="eastAsia"/>
          <w:b/>
          <w:bCs/>
        </w:rPr>
        <w:t>探索绿色晋升通道和破格评聘机制</w:t>
      </w:r>
      <w:r>
        <w:rPr>
          <w:rFonts w:hint="eastAsia"/>
        </w:rPr>
        <w:t>，</w:t>
      </w:r>
      <w:r>
        <w:rPr>
          <w:rFonts w:ascii="仿宋_GB2312" w:hAnsi="仿宋_GB2312" w:cs="仿宋_GB2312"/>
          <w:szCs w:val="32"/>
        </w:rPr>
        <w:t>支持高校</w:t>
      </w:r>
      <w:r>
        <w:rPr>
          <w:rFonts w:hint="eastAsia" w:ascii="仿宋_GB2312" w:hAnsi="仿宋_GB2312" w:cs="仿宋_GB2312"/>
          <w:szCs w:val="32"/>
        </w:rPr>
        <w:t>、科研</w:t>
      </w:r>
      <w:r>
        <w:rPr>
          <w:rFonts w:ascii="仿宋_GB2312" w:hAnsi="仿宋_GB2312" w:cs="仿宋_GB2312"/>
          <w:szCs w:val="32"/>
        </w:rPr>
        <w:t>院所设置专职从事成果转化工作的创新型岗位</w:t>
      </w:r>
      <w:r>
        <w:rPr>
          <w:rFonts w:hint="eastAsia" w:ascii="仿宋_GB2312" w:hAnsi="仿宋_GB2312" w:cs="仿宋_GB2312"/>
          <w:szCs w:val="32"/>
        </w:rPr>
        <w:t>，且</w:t>
      </w:r>
      <w:r>
        <w:rPr>
          <w:rFonts w:ascii="仿宋_GB2312" w:hAnsi="仿宋_GB2312" w:cs="仿宋_GB2312"/>
          <w:szCs w:val="32"/>
        </w:rPr>
        <w:t>不受学历、专业技术职务任职年限、任职资格限制</w:t>
      </w:r>
      <w:r>
        <w:rPr>
          <w:rFonts w:hint="eastAsia" w:ascii="仿宋_GB2312" w:hAnsi="仿宋_GB2312" w:cs="仿宋_GB2312"/>
          <w:szCs w:val="32"/>
        </w:rPr>
        <w:t>可</w:t>
      </w:r>
      <w:r>
        <w:rPr>
          <w:rFonts w:ascii="仿宋_GB2312" w:hAnsi="仿宋_GB2312" w:cs="仿宋_GB2312"/>
          <w:szCs w:val="32"/>
        </w:rPr>
        <w:t>直接申报评审高级职称</w:t>
      </w:r>
      <w:r>
        <w:rPr>
          <w:rFonts w:hint="eastAsia" w:ascii="仿宋_GB2312" w:hAnsi="仿宋_GB2312" w:cs="仿宋_GB2312"/>
          <w:szCs w:val="32"/>
        </w:rPr>
        <w:t>或破格评聘</w:t>
      </w:r>
      <w:r>
        <w:rPr>
          <w:rFonts w:hint="eastAsia"/>
        </w:rPr>
        <w:t>；</w:t>
      </w:r>
      <w:r>
        <w:rPr>
          <w:rFonts w:hint="eastAsia"/>
          <w:b/>
          <w:bCs/>
        </w:rPr>
        <w:t>构建技术经理专业职称体系</w:t>
      </w:r>
      <w:r>
        <w:rPr>
          <w:rFonts w:hint="eastAsia"/>
        </w:rPr>
        <w:t>，</w:t>
      </w:r>
      <w:r>
        <w:rPr>
          <w:rFonts w:ascii="仿宋_GB2312" w:hAnsi="仿宋_GB2312" w:cs="仿宋_GB2312"/>
          <w:szCs w:val="32"/>
        </w:rPr>
        <w:t>并将科技成果转化创造的经济效益和社会效益作为科技成果转化人才职称评审的主要评价因素</w:t>
      </w:r>
      <w:r>
        <w:rPr>
          <w:rFonts w:hint="eastAsia"/>
        </w:rPr>
        <w:t>；</w:t>
      </w:r>
      <w:r>
        <w:rPr>
          <w:rFonts w:hint="eastAsia"/>
          <w:b/>
          <w:bCs/>
        </w:rPr>
        <w:t>建立审慎包容的尽职免责机制</w:t>
      </w:r>
      <w:r>
        <w:rPr>
          <w:rFonts w:hint="eastAsia"/>
        </w:rPr>
        <w:t>，科学评判和恰当处理相关单位领导干部决策和资产管理工作上的失误，解除高等院校、科研机构相关负责人对科技成果转化中的国有资产处置有决策风险的顾虑；</w:t>
      </w:r>
      <w:r>
        <w:rPr>
          <w:rFonts w:hint="eastAsia"/>
          <w:b/>
          <w:bCs/>
        </w:rPr>
        <w:t>探索科技成果“沿途下蛋、就地转化</w:t>
      </w:r>
      <w:r>
        <w:rPr>
          <w:b/>
          <w:bCs/>
        </w:rPr>
        <w:t>”</w:t>
      </w:r>
      <w:r>
        <w:rPr>
          <w:rFonts w:hint="eastAsia"/>
          <w:b/>
          <w:bCs/>
        </w:rPr>
        <w:t>机制</w:t>
      </w:r>
      <w:r>
        <w:rPr>
          <w:rFonts w:hint="eastAsia"/>
        </w:rPr>
        <w:t>，以大湾区综合性国家科学中心先行启动区建设为抓手，加强与港澳创新资源协同配合，实现科技成果沿途落地转化。</w:t>
      </w:r>
    </w:p>
    <w:p>
      <w:pPr>
        <w:ind w:firstLine="640"/>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880"/>
    <w:rsid w:val="00040F0F"/>
    <w:rsid w:val="000501D9"/>
    <w:rsid w:val="00067EF1"/>
    <w:rsid w:val="000E57A8"/>
    <w:rsid w:val="001076EF"/>
    <w:rsid w:val="0011185C"/>
    <w:rsid w:val="0011475F"/>
    <w:rsid w:val="0012746B"/>
    <w:rsid w:val="00130847"/>
    <w:rsid w:val="001657E8"/>
    <w:rsid w:val="00171D00"/>
    <w:rsid w:val="00176B73"/>
    <w:rsid w:val="00195781"/>
    <w:rsid w:val="001B62F7"/>
    <w:rsid w:val="001C04A2"/>
    <w:rsid w:val="001D7212"/>
    <w:rsid w:val="001E5288"/>
    <w:rsid w:val="001E7CC2"/>
    <w:rsid w:val="001F31D1"/>
    <w:rsid w:val="001F47A0"/>
    <w:rsid w:val="002318B5"/>
    <w:rsid w:val="0024655B"/>
    <w:rsid w:val="0024751B"/>
    <w:rsid w:val="00262BEE"/>
    <w:rsid w:val="00262DA5"/>
    <w:rsid w:val="002E1D80"/>
    <w:rsid w:val="002E6D32"/>
    <w:rsid w:val="002F1472"/>
    <w:rsid w:val="003074DE"/>
    <w:rsid w:val="00311EEE"/>
    <w:rsid w:val="00340F3E"/>
    <w:rsid w:val="00357AE0"/>
    <w:rsid w:val="00377F3E"/>
    <w:rsid w:val="003902A6"/>
    <w:rsid w:val="003B6DB3"/>
    <w:rsid w:val="003F5E29"/>
    <w:rsid w:val="003F7403"/>
    <w:rsid w:val="00403822"/>
    <w:rsid w:val="004122BD"/>
    <w:rsid w:val="0042254F"/>
    <w:rsid w:val="00433242"/>
    <w:rsid w:val="0044482A"/>
    <w:rsid w:val="00447B3F"/>
    <w:rsid w:val="0048362E"/>
    <w:rsid w:val="00491647"/>
    <w:rsid w:val="004A3F36"/>
    <w:rsid w:val="004C491E"/>
    <w:rsid w:val="004D0246"/>
    <w:rsid w:val="004D2C7E"/>
    <w:rsid w:val="004D31A1"/>
    <w:rsid w:val="004D5F3C"/>
    <w:rsid w:val="004D5F9D"/>
    <w:rsid w:val="004F550A"/>
    <w:rsid w:val="0051243E"/>
    <w:rsid w:val="0052427B"/>
    <w:rsid w:val="00524291"/>
    <w:rsid w:val="00543E74"/>
    <w:rsid w:val="005445C6"/>
    <w:rsid w:val="005705DF"/>
    <w:rsid w:val="005846B6"/>
    <w:rsid w:val="005864B6"/>
    <w:rsid w:val="005C40B1"/>
    <w:rsid w:val="005E6B14"/>
    <w:rsid w:val="005F6F40"/>
    <w:rsid w:val="00606420"/>
    <w:rsid w:val="00620087"/>
    <w:rsid w:val="00621AFC"/>
    <w:rsid w:val="006513B6"/>
    <w:rsid w:val="00655151"/>
    <w:rsid w:val="006608FD"/>
    <w:rsid w:val="00661BDA"/>
    <w:rsid w:val="00666368"/>
    <w:rsid w:val="0069577D"/>
    <w:rsid w:val="007021E7"/>
    <w:rsid w:val="00751427"/>
    <w:rsid w:val="007718ED"/>
    <w:rsid w:val="00793D96"/>
    <w:rsid w:val="007B5C3F"/>
    <w:rsid w:val="007E5FDF"/>
    <w:rsid w:val="007F3D4C"/>
    <w:rsid w:val="007F5044"/>
    <w:rsid w:val="008066FF"/>
    <w:rsid w:val="00810B40"/>
    <w:rsid w:val="00814AE8"/>
    <w:rsid w:val="008152D8"/>
    <w:rsid w:val="008159EC"/>
    <w:rsid w:val="00825F29"/>
    <w:rsid w:val="008416E1"/>
    <w:rsid w:val="00842A67"/>
    <w:rsid w:val="00873523"/>
    <w:rsid w:val="008763DA"/>
    <w:rsid w:val="0089643E"/>
    <w:rsid w:val="008B2897"/>
    <w:rsid w:val="008C15BA"/>
    <w:rsid w:val="008C7437"/>
    <w:rsid w:val="008D2EDA"/>
    <w:rsid w:val="008D5C30"/>
    <w:rsid w:val="008E7C8C"/>
    <w:rsid w:val="008F29B8"/>
    <w:rsid w:val="008F62A8"/>
    <w:rsid w:val="00904338"/>
    <w:rsid w:val="00915C7D"/>
    <w:rsid w:val="0092088F"/>
    <w:rsid w:val="00951D4F"/>
    <w:rsid w:val="00952873"/>
    <w:rsid w:val="009606A5"/>
    <w:rsid w:val="00965A34"/>
    <w:rsid w:val="009B5790"/>
    <w:rsid w:val="009C23CB"/>
    <w:rsid w:val="009F0239"/>
    <w:rsid w:val="009F6E6E"/>
    <w:rsid w:val="00A22CFD"/>
    <w:rsid w:val="00A44311"/>
    <w:rsid w:val="00A45345"/>
    <w:rsid w:val="00A52658"/>
    <w:rsid w:val="00A5530E"/>
    <w:rsid w:val="00A607B5"/>
    <w:rsid w:val="00A85261"/>
    <w:rsid w:val="00AA63ED"/>
    <w:rsid w:val="00AB5270"/>
    <w:rsid w:val="00AE0C79"/>
    <w:rsid w:val="00AE141E"/>
    <w:rsid w:val="00AF1DFF"/>
    <w:rsid w:val="00B11143"/>
    <w:rsid w:val="00B33A63"/>
    <w:rsid w:val="00B55D36"/>
    <w:rsid w:val="00B56019"/>
    <w:rsid w:val="00B66415"/>
    <w:rsid w:val="00B710DD"/>
    <w:rsid w:val="00B84D04"/>
    <w:rsid w:val="00B92E37"/>
    <w:rsid w:val="00B964C6"/>
    <w:rsid w:val="00B965B0"/>
    <w:rsid w:val="00B979F9"/>
    <w:rsid w:val="00BB3943"/>
    <w:rsid w:val="00BD12D3"/>
    <w:rsid w:val="00C12BB3"/>
    <w:rsid w:val="00C1663C"/>
    <w:rsid w:val="00C22BCA"/>
    <w:rsid w:val="00C23351"/>
    <w:rsid w:val="00C307AE"/>
    <w:rsid w:val="00C343C8"/>
    <w:rsid w:val="00C46A67"/>
    <w:rsid w:val="00C52569"/>
    <w:rsid w:val="00CB3388"/>
    <w:rsid w:val="00CC0141"/>
    <w:rsid w:val="00D038B7"/>
    <w:rsid w:val="00D07C01"/>
    <w:rsid w:val="00D32ABF"/>
    <w:rsid w:val="00D850E0"/>
    <w:rsid w:val="00D8618E"/>
    <w:rsid w:val="00E31D4D"/>
    <w:rsid w:val="00E57282"/>
    <w:rsid w:val="00E67FF6"/>
    <w:rsid w:val="00E82104"/>
    <w:rsid w:val="00E822A4"/>
    <w:rsid w:val="00E91CEC"/>
    <w:rsid w:val="00EA6F1C"/>
    <w:rsid w:val="00EC004D"/>
    <w:rsid w:val="00EC225A"/>
    <w:rsid w:val="00ED6C4D"/>
    <w:rsid w:val="00EE31A1"/>
    <w:rsid w:val="00EF6648"/>
    <w:rsid w:val="00F0431A"/>
    <w:rsid w:val="00F065BE"/>
    <w:rsid w:val="00F46BA6"/>
    <w:rsid w:val="00F52FC9"/>
    <w:rsid w:val="00F560A0"/>
    <w:rsid w:val="00F73ECC"/>
    <w:rsid w:val="00F953F7"/>
    <w:rsid w:val="00F95A94"/>
    <w:rsid w:val="00F976E2"/>
    <w:rsid w:val="00FB6835"/>
    <w:rsid w:val="00FC6880"/>
    <w:rsid w:val="00FE7659"/>
    <w:rsid w:val="00FE7842"/>
    <w:rsid w:val="01707A4D"/>
    <w:rsid w:val="25E83406"/>
    <w:rsid w:val="3E8F5FD2"/>
    <w:rsid w:val="481E358B"/>
    <w:rsid w:val="54C22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5"/>
    <w:qFormat/>
    <w:uiPriority w:val="0"/>
    <w:pPr>
      <w:keepNext/>
      <w:keepLines/>
      <w:outlineLvl w:val="0"/>
    </w:pPr>
    <w:rPr>
      <w:rFonts w:eastAsia="黑体" w:asciiTheme="minorHAnsi" w:hAnsiTheme="minorHAnsi"/>
      <w:bCs/>
      <w:kern w:val="44"/>
      <w:szCs w:val="44"/>
    </w:rPr>
  </w:style>
  <w:style w:type="paragraph" w:styleId="3">
    <w:name w:val="heading 2"/>
    <w:basedOn w:val="1"/>
    <w:next w:val="1"/>
    <w:link w:val="16"/>
    <w:unhideWhenUsed/>
    <w:qFormat/>
    <w:uiPriority w:val="9"/>
    <w:pPr>
      <w:outlineLvl w:val="1"/>
    </w:pPr>
    <w:rPr>
      <w:rFonts w:eastAsia="楷体_GB2312" w:cstheme="majorBidi"/>
      <w:bCs/>
      <w:szCs w:val="32"/>
    </w:rPr>
  </w:style>
  <w:style w:type="paragraph" w:styleId="4">
    <w:name w:val="heading 3"/>
    <w:basedOn w:val="1"/>
    <w:next w:val="1"/>
    <w:link w:val="17"/>
    <w:qFormat/>
    <w:uiPriority w:val="0"/>
    <w:pPr>
      <w:keepNext/>
      <w:spacing w:line="720" w:lineRule="atLeast"/>
      <w:jc w:val="left"/>
      <w:outlineLvl w:val="2"/>
    </w:pPr>
    <w:rPr>
      <w:b/>
      <w:snapToGrid w:val="0"/>
      <w:kern w:val="0"/>
      <w:sz w:val="28"/>
      <w:szCs w:val="20"/>
      <w:lang w:eastAsia="en-US"/>
    </w:rPr>
  </w:style>
  <w:style w:type="paragraph" w:styleId="5">
    <w:name w:val="heading 4"/>
    <w:basedOn w:val="1"/>
    <w:next w:val="1"/>
    <w:link w:val="19"/>
    <w:unhideWhenUsed/>
    <w:qFormat/>
    <w:uiPriority w:val="9"/>
    <w:pPr>
      <w:keepNext/>
      <w:keepLines/>
      <w:outlineLvl w:val="3"/>
    </w:pPr>
    <w:rPr>
      <w:rFonts w:asciiTheme="majorHAnsi" w:hAnsiTheme="majorHAnsi" w:cstheme="majorBidi"/>
      <w:bCs/>
      <w:sz w:val="28"/>
      <w:szCs w:val="28"/>
    </w:rPr>
  </w:style>
  <w:style w:type="character" w:default="1" w:styleId="12">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6">
    <w:name w:val="caption"/>
    <w:basedOn w:val="1"/>
    <w:next w:val="1"/>
    <w:unhideWhenUsed/>
    <w:qFormat/>
    <w:uiPriority w:val="35"/>
    <w:pPr>
      <w:adjustRightInd/>
      <w:snapToGrid/>
      <w:spacing w:line="579" w:lineRule="exact"/>
      <w:ind w:firstLine="640"/>
    </w:pPr>
    <w:rPr>
      <w:rFonts w:ascii="等线 Light" w:hAnsi="等线 Light" w:eastAsia="黑体"/>
      <w:sz w:val="20"/>
      <w:szCs w:val="20"/>
    </w:rPr>
  </w:style>
  <w:style w:type="paragraph" w:styleId="7">
    <w:name w:val="Balloon Text"/>
    <w:basedOn w:val="1"/>
    <w:link w:val="33"/>
    <w:semiHidden/>
    <w:unhideWhenUsed/>
    <w:qFormat/>
    <w:uiPriority w:val="99"/>
    <w:pPr>
      <w:spacing w:line="240" w:lineRule="auto"/>
    </w:pPr>
    <w:rPr>
      <w:sz w:val="18"/>
      <w:szCs w:val="18"/>
    </w:rPr>
  </w:style>
  <w:style w:type="paragraph" w:styleId="8">
    <w:name w:val="footer"/>
    <w:basedOn w:val="1"/>
    <w:link w:val="32"/>
    <w:unhideWhenUsed/>
    <w:qFormat/>
    <w:uiPriority w:val="99"/>
    <w:pPr>
      <w:tabs>
        <w:tab w:val="center" w:pos="4153"/>
        <w:tab w:val="right" w:pos="8306"/>
      </w:tabs>
      <w:spacing w:line="240" w:lineRule="atLeast"/>
      <w:jc w:val="left"/>
    </w:pPr>
    <w:rPr>
      <w:sz w:val="18"/>
      <w:szCs w:val="18"/>
    </w:rPr>
  </w:style>
  <w:style w:type="paragraph" w:styleId="9">
    <w:name w:val="header"/>
    <w:basedOn w:val="1"/>
    <w:link w:val="23"/>
    <w:qFormat/>
    <w:uiPriority w:val="0"/>
    <w:pPr>
      <w:tabs>
        <w:tab w:val="center" w:pos="4153"/>
        <w:tab w:val="right" w:pos="8306"/>
      </w:tabs>
      <w:jc w:val="center"/>
    </w:pPr>
    <w:rPr>
      <w:sz w:val="18"/>
      <w:szCs w:val="18"/>
    </w:rPr>
  </w:style>
  <w:style w:type="paragraph" w:styleId="10">
    <w:name w:val="Subtitle"/>
    <w:basedOn w:val="3"/>
    <w:next w:val="1"/>
    <w:link w:val="24"/>
    <w:qFormat/>
    <w:uiPriority w:val="0"/>
    <w:pPr>
      <w:keepNext/>
      <w:keepLines/>
      <w:jc w:val="left"/>
    </w:pPr>
    <w:rPr>
      <w:rFonts w:asciiTheme="minorHAnsi" w:hAnsiTheme="minorHAnsi" w:cstheme="minorBidi"/>
      <w:bCs w:val="0"/>
      <w:kern w:val="28"/>
    </w:rPr>
  </w:style>
  <w:style w:type="paragraph" w:styleId="11">
    <w:name w:val="Title"/>
    <w:basedOn w:val="1"/>
    <w:next w:val="1"/>
    <w:link w:val="18"/>
    <w:qFormat/>
    <w:uiPriority w:val="10"/>
    <w:pPr>
      <w:ind w:firstLine="0" w:firstLineChars="0"/>
      <w:jc w:val="center"/>
      <w:outlineLvl w:val="0"/>
    </w:pPr>
    <w:rPr>
      <w:rFonts w:eastAsia="方正小标宋简体" w:asciiTheme="minorHAnsi" w:hAnsiTheme="minorHAnsi" w:cstheme="minorBidi"/>
      <w:bCs/>
      <w:sz w:val="44"/>
      <w:szCs w:val="32"/>
    </w:rPr>
  </w:style>
  <w:style w:type="character" w:styleId="13">
    <w:name w:val="Strong"/>
    <w:basedOn w:val="12"/>
    <w:qFormat/>
    <w:uiPriority w:val="0"/>
    <w:rPr>
      <w:b/>
      <w:bCs/>
    </w:rPr>
  </w:style>
  <w:style w:type="character" w:customStyle="1" w:styleId="15">
    <w:name w:val="标题 1 字符"/>
    <w:link w:val="2"/>
    <w:qFormat/>
    <w:uiPriority w:val="0"/>
    <w:rPr>
      <w:rFonts w:eastAsia="黑体"/>
      <w:bCs/>
      <w:kern w:val="44"/>
      <w:sz w:val="32"/>
      <w:szCs w:val="44"/>
    </w:rPr>
  </w:style>
  <w:style w:type="character" w:customStyle="1" w:styleId="16">
    <w:name w:val="标题 2 字符"/>
    <w:link w:val="3"/>
    <w:qFormat/>
    <w:uiPriority w:val="9"/>
    <w:rPr>
      <w:rFonts w:ascii="Times New Roman" w:hAnsi="Times New Roman" w:eastAsia="楷体_GB2312" w:cstheme="majorBidi"/>
      <w:bCs/>
      <w:sz w:val="32"/>
      <w:szCs w:val="32"/>
    </w:rPr>
  </w:style>
  <w:style w:type="character" w:customStyle="1" w:styleId="17">
    <w:name w:val="标题 3 字符"/>
    <w:basedOn w:val="12"/>
    <w:link w:val="4"/>
    <w:qFormat/>
    <w:uiPriority w:val="0"/>
    <w:rPr>
      <w:rFonts w:ascii="Times New Roman" w:hAnsi="Times New Roman" w:eastAsia="仿宋_GB2312" w:cs="Times New Roman"/>
      <w:b/>
      <w:snapToGrid w:val="0"/>
      <w:kern w:val="0"/>
      <w:sz w:val="28"/>
      <w:szCs w:val="20"/>
      <w:lang w:eastAsia="en-US"/>
    </w:rPr>
  </w:style>
  <w:style w:type="character" w:customStyle="1" w:styleId="18">
    <w:name w:val="标题 字符"/>
    <w:link w:val="11"/>
    <w:qFormat/>
    <w:uiPriority w:val="10"/>
    <w:rPr>
      <w:rFonts w:eastAsia="方正小标宋简体"/>
      <w:bCs/>
      <w:sz w:val="44"/>
      <w:szCs w:val="32"/>
    </w:rPr>
  </w:style>
  <w:style w:type="character" w:customStyle="1" w:styleId="19">
    <w:name w:val="标题 4 字符"/>
    <w:basedOn w:val="12"/>
    <w:link w:val="5"/>
    <w:qFormat/>
    <w:uiPriority w:val="9"/>
    <w:rPr>
      <w:rFonts w:eastAsia="仿宋_GB2312" w:asciiTheme="majorHAnsi" w:hAnsiTheme="majorHAnsi" w:cstheme="majorBidi"/>
      <w:bCs/>
      <w:sz w:val="28"/>
      <w:szCs w:val="28"/>
    </w:rPr>
  </w:style>
  <w:style w:type="paragraph" w:customStyle="1" w:styleId="20">
    <w:name w:val="注释"/>
    <w:basedOn w:val="1"/>
    <w:link w:val="21"/>
    <w:qFormat/>
    <w:uiPriority w:val="0"/>
    <w:rPr>
      <w:rFonts w:eastAsia="楷体" w:cs="宋体"/>
      <w:sz w:val="28"/>
    </w:rPr>
  </w:style>
  <w:style w:type="character" w:customStyle="1" w:styleId="21">
    <w:name w:val="注释 字符"/>
    <w:basedOn w:val="12"/>
    <w:link w:val="20"/>
    <w:qFormat/>
    <w:uiPriority w:val="0"/>
    <w:rPr>
      <w:rFonts w:eastAsia="楷体" w:cs="宋体"/>
      <w:sz w:val="28"/>
    </w:rPr>
  </w:style>
  <w:style w:type="character" w:customStyle="1" w:styleId="22">
    <w:name w:val="注释 Char"/>
    <w:qFormat/>
    <w:uiPriority w:val="0"/>
    <w:rPr>
      <w:rFonts w:ascii="仿宋_GB2312" w:hAnsi="仿宋_GB2312" w:eastAsia="楷体"/>
      <w:sz w:val="28"/>
    </w:rPr>
  </w:style>
  <w:style w:type="character" w:customStyle="1" w:styleId="23">
    <w:name w:val="页眉 字符"/>
    <w:basedOn w:val="12"/>
    <w:link w:val="9"/>
    <w:qFormat/>
    <w:uiPriority w:val="0"/>
    <w:rPr>
      <w:rFonts w:ascii="Times New Roman" w:hAnsi="Times New Roman" w:eastAsia="仿宋_GB2312" w:cs="Times New Roman"/>
      <w:sz w:val="18"/>
      <w:szCs w:val="18"/>
    </w:rPr>
  </w:style>
  <w:style w:type="character" w:customStyle="1" w:styleId="24">
    <w:name w:val="副标题 字符"/>
    <w:link w:val="10"/>
    <w:qFormat/>
    <w:uiPriority w:val="0"/>
    <w:rPr>
      <w:rFonts w:eastAsia="楷体_GB2312"/>
      <w:kern w:val="28"/>
      <w:sz w:val="32"/>
      <w:szCs w:val="32"/>
    </w:rPr>
  </w:style>
  <w:style w:type="paragraph" w:customStyle="1" w:styleId="25">
    <w:name w:val="标题3"/>
    <w:basedOn w:val="4"/>
    <w:next w:val="1"/>
    <w:link w:val="26"/>
    <w:qFormat/>
    <w:uiPriority w:val="0"/>
    <w:pPr>
      <w:keepLines/>
      <w:spacing w:line="560" w:lineRule="exact"/>
      <w:jc w:val="both"/>
    </w:pPr>
    <w:rPr>
      <w:rFonts w:asciiTheme="minorHAnsi" w:hAnsiTheme="minorHAnsi" w:cstheme="minorBidi"/>
      <w:b w:val="0"/>
      <w:bCs/>
      <w:snapToGrid/>
      <w:kern w:val="2"/>
      <w:sz w:val="32"/>
      <w:szCs w:val="32"/>
      <w:lang w:eastAsia="zh-CN"/>
    </w:rPr>
  </w:style>
  <w:style w:type="character" w:customStyle="1" w:styleId="26">
    <w:name w:val="标题3 字符"/>
    <w:link w:val="25"/>
    <w:qFormat/>
    <w:uiPriority w:val="0"/>
    <w:rPr>
      <w:rFonts w:eastAsia="仿宋_GB2312"/>
      <w:bCs/>
      <w:sz w:val="32"/>
      <w:szCs w:val="32"/>
    </w:rPr>
  </w:style>
  <w:style w:type="paragraph" w:customStyle="1" w:styleId="27">
    <w:name w:val="专栏"/>
    <w:basedOn w:val="1"/>
    <w:link w:val="28"/>
    <w:qFormat/>
    <w:uiPriority w:val="0"/>
    <w:rPr>
      <w:rFonts w:eastAsia="楷体_GB2312" w:cs="仿宋_GB2312" w:asciiTheme="minorHAnsi" w:hAnsiTheme="minorHAnsi"/>
      <w:spacing w:val="-1"/>
      <w:sz w:val="28"/>
      <w:szCs w:val="28"/>
    </w:rPr>
  </w:style>
  <w:style w:type="character" w:customStyle="1" w:styleId="28">
    <w:name w:val="专栏 字符"/>
    <w:link w:val="27"/>
    <w:qFormat/>
    <w:uiPriority w:val="0"/>
    <w:rPr>
      <w:rFonts w:eastAsia="楷体_GB2312" w:cs="仿宋_GB2312"/>
      <w:spacing w:val="-1"/>
      <w:sz w:val="28"/>
      <w:szCs w:val="28"/>
    </w:rPr>
  </w:style>
  <w:style w:type="paragraph" w:styleId="29">
    <w:name w:val="No Spacing"/>
    <w:qFormat/>
    <w:uiPriority w:val="1"/>
    <w:pPr>
      <w:widowControl w:val="0"/>
      <w:adjustRightInd w:val="0"/>
      <w:snapToGrid w:val="0"/>
      <w:ind w:firstLine="200" w:firstLineChars="200"/>
      <w:jc w:val="both"/>
    </w:pPr>
    <w:rPr>
      <w:rFonts w:ascii="Times New Roman" w:hAnsi="Times New Roman" w:eastAsia="仿宋_GB2312" w:cs="Times New Roman"/>
      <w:kern w:val="2"/>
      <w:sz w:val="32"/>
      <w:szCs w:val="24"/>
      <w:lang w:val="en-US" w:eastAsia="zh-CN" w:bidi="ar-SA"/>
    </w:rPr>
  </w:style>
  <w:style w:type="character" w:customStyle="1" w:styleId="30">
    <w:name w:val="Book Title"/>
    <w:basedOn w:val="12"/>
    <w:qFormat/>
    <w:uiPriority w:val="33"/>
    <w:rPr>
      <w:b/>
      <w:bCs/>
      <w:i/>
      <w:iCs/>
      <w:spacing w:val="5"/>
    </w:rPr>
  </w:style>
  <w:style w:type="paragraph" w:styleId="31">
    <w:name w:val="List Paragraph"/>
    <w:basedOn w:val="1"/>
    <w:qFormat/>
    <w:uiPriority w:val="34"/>
    <w:pPr>
      <w:ind w:firstLine="420"/>
    </w:pPr>
  </w:style>
  <w:style w:type="character" w:customStyle="1" w:styleId="32">
    <w:name w:val="页脚 字符"/>
    <w:basedOn w:val="12"/>
    <w:link w:val="8"/>
    <w:qFormat/>
    <w:uiPriority w:val="99"/>
    <w:rPr>
      <w:rFonts w:ascii="Times New Roman" w:hAnsi="Times New Roman" w:eastAsia="仿宋_GB2312" w:cs="Times New Roman"/>
      <w:sz w:val="18"/>
      <w:szCs w:val="18"/>
    </w:rPr>
  </w:style>
  <w:style w:type="character" w:customStyle="1" w:styleId="33">
    <w:name w:val="批注框文本 字符"/>
    <w:basedOn w:val="12"/>
    <w:link w:val="7"/>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426</Words>
  <Characters>2433</Characters>
  <Lines>20</Lines>
  <Paragraphs>5</Paragraphs>
  <TotalTime>24</TotalTime>
  <ScaleCrop>false</ScaleCrop>
  <LinksUpToDate>false</LinksUpToDate>
  <CharactersWithSpaces>2854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2020-11-17T10:43:00Z</dcterms:created>
  <dc:creator>林 靖玲</dc:creator>
  <cp:lastModifiedBy>梅秦源</cp:lastModifiedBy>
  <dcterms:modified xsi:type="dcterms:W3CDTF">2020-11-23T02:07:38Z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