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六、重点工程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围绕建设国际知名区域创新中心的总体目标，根据深圳科技发展的主要任务，实施创新能力提升、创新人才集聚、国际化和区域合作、知识产权和标准化、技术平台、科技金融、重大科技应用示范、全民科普等八大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6"/>
          <w:rFonts w:ascii="楷体" w:hAnsi="楷体" w:eastAsia="楷体" w:cs="楷体"/>
          <w:b w:val="0"/>
          <w:i w:val="0"/>
          <w:caps w:val="0"/>
          <w:color w:val="000000"/>
          <w:spacing w:val="0"/>
          <w:sz w:val="19"/>
          <w:szCs w:val="19"/>
          <w:bdr w:val="none" w:color="auto" w:sz="0" w:space="0"/>
          <w:shd w:val="clear" w:fill="FFFFFF"/>
        </w:rPr>
        <w:t>　　（一）创新能力提升工程。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加强科技创新基础设施建设，完善知识创新体系和技术创新体系，以高等院校、科研机构、重点实验室、工程技术平台为依托，以人才培养、基础研究、技术研发、成果转化为导向，加强源头创新与核心技术突破，全面提升科技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核心技术创新。</w:t>
      </w:r>
      <w:r>
        <w:rPr>
          <w:rFonts w:ascii="宋体" w:hAnsi="宋体" w:eastAsia="宋体" w:cs="宋体"/>
          <w:i w:val="0"/>
          <w:caps w:val="0"/>
          <w:color w:val="000000"/>
          <w:spacing w:val="0"/>
          <w:sz w:val="19"/>
          <w:szCs w:val="19"/>
          <w:bdr w:val="none" w:color="auto" w:sz="0" w:space="0"/>
          <w:shd w:val="clear" w:fill="FFFFFF"/>
        </w:rPr>
        <w:t>在新一代信息技术、生命科学、超材料、新能源汽车等领域，超常规支持华为、中兴、华大基因、光启理工、比亚迪等企业和研究机构，鼓励联合攻关，集中优势创新资源，在核心技术上率先突破，实现跨越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高等院校和科研机构。</w:t>
      </w:r>
      <w:r>
        <w:rPr>
          <w:rFonts w:ascii="宋体" w:hAnsi="宋体" w:eastAsia="宋体" w:cs="宋体"/>
          <w:i w:val="0"/>
          <w:caps w:val="0"/>
          <w:color w:val="000000"/>
          <w:spacing w:val="0"/>
          <w:sz w:val="19"/>
          <w:szCs w:val="19"/>
          <w:bdr w:val="none" w:color="auto" w:sz="0" w:space="0"/>
          <w:shd w:val="clear" w:fill="FFFFFF"/>
        </w:rPr>
        <w:t>加强基础研究能力建设，加快建设南方科技大学。2011年启动深圳大学西丽校区建设，加快推进医学院和附属医院建设，筹建深圳大学研究生院，提升深圳大学教育科研水平。加快发展清华大学、北京大学、哈尔滨工业大学等深圳研究生院，力争至2015年建成香港中文大学深圳学院。促进华大基因研究院、光启高等理工研究院等科研机构跨越式发展，探索与企业联合在深圳建设生物、新材料、金融等特色学院。筹建深圳产业创新研究院，在新能源、生物、新材料等领域组建相关研究所。2015年前完成深圳先进技术研究院二期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创新型企业。</w:t>
      </w:r>
      <w:r>
        <w:rPr>
          <w:rFonts w:ascii="宋体" w:hAnsi="宋体" w:eastAsia="宋体" w:cs="宋体"/>
          <w:i w:val="0"/>
          <w:caps w:val="0"/>
          <w:color w:val="000000"/>
          <w:spacing w:val="0"/>
          <w:sz w:val="19"/>
          <w:szCs w:val="19"/>
          <w:bdr w:val="none" w:color="auto" w:sz="0" w:space="0"/>
          <w:shd w:val="clear" w:fill="FFFFFF"/>
        </w:rPr>
        <w:t>强化企业自主创新的主体地位，突出大型企业在技术创新中的龙头作用，发挥中小企业在技术创新中的中坚力量，加快培育自主创新型中小企业群，巩固加强中小企业创新活跃的优势，全面落实《深圳经济特区中小企业发展促进条例》，出台相关实施细则，从创业扶持、创新推动、市场开拓、资金扶持、融资促进、权益保护等多个方面加大扶持力度。落实世界500强、央企和民企进广东，实施研发型总部企业的落地工程。加快建设深圳生物医药企业加速器和深圳软件产业基地，在高新区深圳湾园区、南山后海等区域规划布局科技型中小企业总部集聚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重大科技基础设施。</w:t>
      </w:r>
      <w:r>
        <w:rPr>
          <w:rFonts w:ascii="宋体" w:hAnsi="宋体" w:eastAsia="宋体" w:cs="宋体"/>
          <w:i w:val="0"/>
          <w:caps w:val="0"/>
          <w:color w:val="000000"/>
          <w:spacing w:val="0"/>
          <w:sz w:val="19"/>
          <w:szCs w:val="19"/>
          <w:bdr w:val="none" w:color="auto" w:sz="0" w:space="0"/>
          <w:shd w:val="clear" w:fill="FFFFFF"/>
        </w:rPr>
        <w:t>2011年建成运算能力超千万亿次的国家超级计算深圳中心，深圳云计算中心投入运行，依托超算中心建设海量存储中心和大型托管中心，加快建设深圳国家基因库，力争建成国家野外气象科学试验基地，积极争取其他国家级重大科技基础设施落户深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重点实验室。</w:t>
      </w:r>
      <w:r>
        <w:rPr>
          <w:rFonts w:ascii="宋体" w:hAnsi="宋体" w:eastAsia="宋体" w:cs="宋体"/>
          <w:i w:val="0"/>
          <w:caps w:val="0"/>
          <w:color w:val="000000"/>
          <w:spacing w:val="0"/>
          <w:sz w:val="19"/>
          <w:szCs w:val="19"/>
          <w:bdr w:val="none" w:color="auto" w:sz="0" w:space="0"/>
          <w:shd w:val="clear" w:fill="FFFFFF"/>
        </w:rPr>
        <w:t>大力支持企业、科研机构和高等院校在深圳承担国家工程实验室、国家重点实验室、国家工程（技术）研究中心建设任务。调整或重组一批重点实验室，提升实验室建设质量。加快推进北京大学深圳研究生院、清华大学深圳研究生院、香港理工大学普尔药物有限公司省部（科技部）共建国家重点实验室培育基地、深圳大学省部（教育部）共建重点实验室、深圳先进技术研究院中科院重点实验室建成国家重点实验室。加快推进包括华大基因贯穿组学生物信息核心技术、海洋基因组学、环境微生物组学与应用、认知与基因研究、人体共生微生物与健康研究和光启高等理工研究院变换光学与空间调制技术、人造微结构开发、数据科学与建模技术、光学与太赫兹超材料、超材料制备与封装技术在内的重点实验室建设。力争2013年前建成1家国家重点实验室，2015年前新增2家国家重点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工程实验室。</w:t>
      </w:r>
      <w:r>
        <w:rPr>
          <w:rFonts w:ascii="宋体" w:hAnsi="宋体" w:eastAsia="宋体" w:cs="宋体"/>
          <w:i w:val="0"/>
          <w:caps w:val="0"/>
          <w:color w:val="000000"/>
          <w:spacing w:val="0"/>
          <w:sz w:val="19"/>
          <w:szCs w:val="19"/>
          <w:bdr w:val="none" w:color="auto" w:sz="0" w:space="0"/>
          <w:shd w:val="clear" w:fill="FFFFFF"/>
        </w:rPr>
        <w:t>加快建设新一代移动通信系统、电子信息产品智能互联、电子信息产品标准化和数字音频4个国家工程</w:t>
      </w:r>
      <w:bookmarkStart w:id="0" w:name="_GoBack"/>
      <w:bookmarkEnd w:id="0"/>
      <w:r>
        <w:rPr>
          <w:rFonts w:ascii="宋体" w:hAnsi="宋体" w:eastAsia="宋体" w:cs="宋体"/>
          <w:i w:val="0"/>
          <w:caps w:val="0"/>
          <w:color w:val="000000"/>
          <w:spacing w:val="0"/>
          <w:sz w:val="19"/>
          <w:szCs w:val="19"/>
          <w:bdr w:val="none" w:color="auto" w:sz="0" w:space="0"/>
          <w:shd w:val="clear" w:fill="FFFFFF"/>
        </w:rPr>
        <w:t>实验室。加快推进包括华大基因蛋白质组学、作物分子设计聚合育种、出生缺陷筛查、动物基因组辅助育种、临床分子诊断和光启研究院复合智能超材料、超材料技术生物医疗应用、超材料技术光电应用、新材料计算机辅助设计、毫米波超材料在内的工程实验室建设，积极筹建服务机器人、高端医学影像和基因工程等工程实验室，争取国家发展改革委支持，将更多的国家工程实验室落户深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大学科技园。</w:t>
      </w:r>
      <w:r>
        <w:rPr>
          <w:rFonts w:ascii="宋体" w:hAnsi="宋体" w:eastAsia="宋体" w:cs="宋体"/>
          <w:i w:val="0"/>
          <w:caps w:val="0"/>
          <w:color w:val="000000"/>
          <w:spacing w:val="0"/>
          <w:sz w:val="19"/>
          <w:szCs w:val="19"/>
          <w:bdr w:val="none" w:color="auto" w:sz="0" w:space="0"/>
          <w:shd w:val="clear" w:fill="FFFFFF"/>
        </w:rPr>
        <w:t>提升武汉大学、中国地质大学、香港理工大学等高校产学研基地的发展水平，加快香港中文大学、华中科技大学、中山大学、北京航空航天大学、上海交通大学等高校产学研基地建设。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企业研发中心。</w:t>
      </w:r>
      <w:r>
        <w:rPr>
          <w:rFonts w:ascii="宋体" w:hAnsi="宋体" w:eastAsia="宋体" w:cs="宋体"/>
          <w:i w:val="0"/>
          <w:caps w:val="0"/>
          <w:color w:val="000000"/>
          <w:spacing w:val="0"/>
          <w:sz w:val="19"/>
          <w:szCs w:val="19"/>
          <w:bdr w:val="none" w:color="auto" w:sz="0" w:space="0"/>
          <w:shd w:val="clear" w:fill="FFFFFF"/>
        </w:rPr>
        <w:t>支持华为国家移动宽带核心网通信工程技术研究中心、中兴国家宽带无线接入网工程技术研究中心、迈瑞国家医用诊断仪器工程技术研究中心、比克国家级锂离子动力电池企业技术中心和腾讯研究院建设。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974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