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  <w:t>深圳市大型科学仪器设备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  <w:t>开放共享自评报告</w:t>
      </w:r>
    </w:p>
    <w:bookmarkEnd w:id="0"/>
    <w:p>
      <w:pPr>
        <w:jc w:val="center"/>
        <w:rPr>
          <w:rFonts w:hint="eastAsia" w:ascii="宋体" w:hAnsi="宋体" w:eastAsia="宋体" w:cs="Times New Roman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color w:val="auto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Times New Roman"/>
          <w:color w:val="auto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Times New Roman"/>
          <w:color w:val="auto"/>
          <w:sz w:val="36"/>
          <w:szCs w:val="36"/>
          <w:lang w:eastAsia="zh-CN"/>
        </w:rPr>
        <w:t>）</w:t>
      </w:r>
    </w:p>
    <w:p>
      <w:pPr>
        <w:jc w:val="center"/>
        <w:rPr>
          <w:rFonts w:ascii="宋体" w:hAnsi="宋体" w:eastAsia="宋体" w:cs="Times New Roman"/>
          <w:color w:val="auto"/>
          <w:sz w:val="36"/>
          <w:szCs w:val="36"/>
        </w:rPr>
      </w:pPr>
    </w:p>
    <w:p>
      <w:pPr>
        <w:jc w:val="center"/>
        <w:rPr>
          <w:rFonts w:ascii="宋体" w:hAnsi="宋体" w:eastAsia="宋体" w:cs="Times New Roman"/>
          <w:color w:val="auto"/>
          <w:sz w:val="36"/>
          <w:szCs w:val="36"/>
        </w:rPr>
      </w:pPr>
    </w:p>
    <w:p>
      <w:pPr>
        <w:ind w:firstLine="1414" w:firstLineChars="393"/>
        <w:rPr>
          <w:rFonts w:ascii="宋体" w:hAnsi="宋体" w:eastAsia="宋体" w:cs="Times New Roman"/>
          <w:color w:val="auto"/>
          <w:sz w:val="36"/>
          <w:szCs w:val="36"/>
        </w:rPr>
      </w:pPr>
    </w:p>
    <w:p>
      <w:pPr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单位名称：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（盖章）</w:t>
      </w:r>
    </w:p>
    <w:p>
      <w:pPr>
        <w:snapToGrid w:val="0"/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责任部门：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        </w:t>
      </w:r>
    </w:p>
    <w:p>
      <w:pPr>
        <w:snapToGrid w:val="0"/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联系人: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　　　   　  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 xml:space="preserve"> 联系电话: 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　　　       </w:t>
      </w:r>
    </w:p>
    <w:p>
      <w:pPr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E-mail：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          </w:t>
      </w:r>
    </w:p>
    <w:p>
      <w:pPr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通讯地址：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        </w:t>
      </w:r>
    </w:p>
    <w:p>
      <w:pPr>
        <w:snapToGrid w:val="0"/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 xml:space="preserve">邮政编码: 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　　　　　　　　　              </w:t>
      </w: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b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深圳市科技创新委员会</w:t>
      </w:r>
    </w:p>
    <w:p>
      <w:pPr>
        <w:jc w:val="center"/>
        <w:rPr>
          <w:rFonts w:ascii="宋体" w:hAnsi="宋体" w:eastAsia="宋体" w:cs="Times New Roman"/>
          <w:b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二Ｏ二二年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月</w:t>
      </w:r>
    </w:p>
    <w:p>
      <w:pPr>
        <w:jc w:val="center"/>
        <w:rPr>
          <w:rFonts w:ascii="方正小标宋简体" w:hAnsi="宋体" w:eastAsia="方正小标宋简体" w:cs="Times New Roman"/>
          <w:color w:val="auto"/>
          <w:sz w:val="44"/>
          <w:szCs w:val="44"/>
        </w:rPr>
      </w:pPr>
      <w:r>
        <w:rPr>
          <w:rFonts w:ascii="方正小标宋_GBK" w:hAnsi="宋体" w:eastAsia="方正小标宋_GBK" w:cs="Times New Roman"/>
          <w:color w:val="auto"/>
          <w:sz w:val="44"/>
          <w:szCs w:val="44"/>
        </w:rPr>
        <w:br w:type="page"/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填报要求</w:t>
      </w:r>
    </w:p>
    <w:p>
      <w:pPr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1.报告所填数据要求真实、准确、完整，不得虚构、造假。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2.报告中的数据统计周期为:202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年1月1日至12月31日。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3.报告中提到的“服务”是指本单位全部大型科学仪器设备用于科研的开放共享情况；法定测试、检验、医疗服务、批量生产等情况不属于报告中的“服务”范围。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4.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报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告中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提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到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的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“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仪器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设备”指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单台价值在50万元人民币及以上的科学仪器设备、专用软件和实验装置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5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.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报告中提到的附件材料，上报时需统一编码，编码格式示例：1-1-X、2-1-X。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</w:p>
    <w:p>
      <w:pP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</w:p>
    <w:p>
      <w:pP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  <w: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  <w:br w:type="page"/>
      </w:r>
    </w:p>
    <w:p>
      <w:pPr>
        <w:pStyle w:val="4"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共享服务成效</w:t>
      </w:r>
    </w:p>
    <w:tbl>
      <w:tblPr>
        <w:tblStyle w:val="2"/>
        <w:tblW w:w="10234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2410"/>
        <w:gridCol w:w="155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指  标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附件编码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购置仪器设备总数量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台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仪器设备价值总额</w:t>
            </w:r>
          </w:p>
        </w:tc>
        <w:tc>
          <w:tcPr>
            <w:tcW w:w="2410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元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开放仪器设备数量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台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仪器设备年运行总机时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小时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仪器设备年对外服务总机时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小时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仪器设备年服务用户单位数量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家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仪器设备服务合同数量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份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-X</w:t>
            </w:r>
          </w:p>
        </w:tc>
        <w:tc>
          <w:tcPr>
            <w:tcW w:w="1705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提供名录清单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仪器服务合同总金额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元</w:t>
            </w:r>
          </w:p>
        </w:tc>
        <w:tc>
          <w:tcPr>
            <w:tcW w:w="1559" w:type="dxa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仪器设备登记项目数量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-X</w:t>
            </w:r>
          </w:p>
        </w:tc>
        <w:tc>
          <w:tcPr>
            <w:tcW w:w="1705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提供名录清单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用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户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好评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-X</w:t>
            </w:r>
          </w:p>
        </w:tc>
        <w:tc>
          <w:tcPr>
            <w:tcW w:w="1705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提供佐证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资料</w:t>
            </w:r>
          </w:p>
        </w:tc>
      </w:tr>
    </w:tbl>
    <w:p>
      <w:pPr>
        <w:pStyle w:val="4"/>
        <w:numPr>
          <w:ilvl w:val="255"/>
          <w:numId w:val="0"/>
        </w:numPr>
        <w:spacing w:line="560" w:lineRule="exact"/>
        <w:ind w:firstLine="640" w:firstLineChars="200"/>
        <w:outlineLvl w:val="1"/>
        <w:rPr>
          <w:rFonts w:ascii="楷体" w:hAnsi="楷体" w:eastAsia="楷体" w:cs="黑体"/>
          <w:bCs/>
          <w:color w:val="auto"/>
          <w:sz w:val="32"/>
          <w:szCs w:val="32"/>
        </w:rPr>
      </w:pPr>
    </w:p>
    <w:p>
      <w:pPr>
        <w:pStyle w:val="4"/>
        <w:numPr>
          <w:ilvl w:val="255"/>
          <w:numId w:val="0"/>
        </w:numPr>
        <w:spacing w:line="560" w:lineRule="exact"/>
        <w:ind w:firstLine="640" w:firstLineChars="200"/>
        <w:outlineLvl w:val="1"/>
        <w:rPr>
          <w:rFonts w:ascii="楷体" w:hAnsi="楷体" w:eastAsia="楷体" w:cs="黑体"/>
          <w:bCs/>
          <w:color w:val="auto"/>
          <w:sz w:val="32"/>
          <w:szCs w:val="32"/>
        </w:rPr>
      </w:pPr>
    </w:p>
    <w:p>
      <w:pPr>
        <w:rPr>
          <w:rFonts w:hint="eastAsia" w:ascii="楷体" w:hAnsi="楷体" w:eastAsia="楷体" w:cs="黑体"/>
          <w:bCs/>
          <w:color w:val="auto"/>
          <w:sz w:val="32"/>
          <w:szCs w:val="32"/>
        </w:rPr>
      </w:pPr>
    </w:p>
    <w:p>
      <w:pPr>
        <w:pStyle w:val="4"/>
        <w:numPr>
          <w:ilvl w:val="255"/>
          <w:numId w:val="0"/>
        </w:numPr>
        <w:spacing w:line="560" w:lineRule="exact"/>
        <w:ind w:firstLine="640" w:firstLineChars="200"/>
        <w:outlineLvl w:val="1"/>
        <w:rPr>
          <w:rFonts w:hint="eastAsia" w:ascii="楷体" w:hAnsi="楷体" w:eastAsia="楷体" w:cs="黑体"/>
          <w:bCs/>
          <w:color w:val="auto"/>
          <w:sz w:val="32"/>
          <w:szCs w:val="32"/>
        </w:rPr>
        <w:sectPr>
          <w:pgSz w:w="11906" w:h="16838"/>
          <w:pgMar w:top="1440" w:right="1700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pStyle w:val="4"/>
        <w:numPr>
          <w:ilvl w:val="255"/>
          <w:numId w:val="0"/>
        </w:numPr>
        <w:spacing w:line="560" w:lineRule="exact"/>
        <w:outlineLvl w:val="1"/>
        <w:rPr>
          <w:rFonts w:hint="eastAsia" w:ascii="黑体" w:hAnsi="黑体" w:eastAsia="黑体" w:cs="黑体"/>
          <w:b/>
          <w:bCs/>
          <w:strike w:val="0"/>
          <w:dstrike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trike w:val="0"/>
          <w:dstrike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z w:val="32"/>
          <w:szCs w:val="32"/>
          <w:lang w:eastAsia="zh-CN"/>
        </w:rPr>
        <w:t>共享服务组织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z w:val="32"/>
          <w:szCs w:val="32"/>
        </w:rPr>
        <w:t>管理</w:t>
      </w:r>
    </w:p>
    <w:tbl>
      <w:tblPr>
        <w:tblStyle w:val="2"/>
        <w:tblW w:w="10178" w:type="dxa"/>
        <w:tblInd w:w="-5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544"/>
        <w:gridCol w:w="1701"/>
        <w:gridCol w:w="1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指  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附件编码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大型科学仪器购置内部评议制度建设及执行情况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br w:type="textWrapping"/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仪器购置内部评议制度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2-1-X</w:t>
            </w:r>
          </w:p>
        </w:tc>
        <w:tc>
          <w:tcPr>
            <w:tcW w:w="181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需提供附件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(包含制度、评议报告等材料)</w:t>
            </w:r>
          </w:p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评议执行率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开放共享管理制度的建设情况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管理制度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2-2-X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需提供附件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技术团队规模与结构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技术人员配备情况： 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技术服务人员总数：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人                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（专职：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人；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其中：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高级职称：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人,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中级职称：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人,其他：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人；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兼职：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人）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技术团队培训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2-3-X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需提供培训记录清单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服务资质（CMA、CNAS等）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项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2-4-X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需提供证明文件复印件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仪器设备信息化管理系统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2-5-X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需提供系统相关截图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仪器设备集约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管理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方正小标宋简体" w:hAnsi="方正小标宋_GBK" w:eastAsia="黑体" w:cs="方正小标宋_GBK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三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信息公开</w:t>
      </w:r>
    </w:p>
    <w:tbl>
      <w:tblPr>
        <w:tblStyle w:val="2"/>
        <w:tblW w:w="10178" w:type="dxa"/>
        <w:tblInd w:w="-5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2670"/>
        <w:gridCol w:w="1560"/>
        <w:gridCol w:w="33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指  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附件编码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已纳入市共享平台仪器设备总数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none"/>
                <w:lang w:eastAsia="zh-CN"/>
              </w:rPr>
              <w:t>台（套）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-1-X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提供仪器原始台帐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仪器设备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信息的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完整性及准确性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是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在市共享平台的仪器设备数据的完整性与准确性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共享服务信息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有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hint="eastAsia" w:ascii="CESI仿宋-GB2312" w:hAnsi="CESI仿宋-GB2312" w:eastAsia="仿宋_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市共享平台的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共享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服务内容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及收费价格等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信息报送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-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-X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提供报送清单列表</w:t>
            </w:r>
          </w:p>
        </w:tc>
      </w:tr>
    </w:tbl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700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B385"/>
    <w:rsid w:val="155A19DC"/>
    <w:rsid w:val="28C13191"/>
    <w:rsid w:val="508765A6"/>
    <w:rsid w:val="5F7FB385"/>
    <w:rsid w:val="7CA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2022-02-15T11:18:00Z</dcterms:created>
  <dc:creator>luoyh</dc:creator>
  <cp:lastModifiedBy>郑曜琨</cp:lastModifiedBy>
  <dcterms:modified xsi:type="dcterms:W3CDTF">2022-02-23T02:20:27Z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D6BB316E65EC4D8D813826BC1D114951</vt:lpwstr>
  </property>
</Properties>
</file>