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中华人民共和国生物安全法</w:t>
      </w:r>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 xml:space="preserve"> </w:t>
      </w:r>
    </w:p>
    <w:p>
      <w:pPr>
        <w:jc w:val="center"/>
        <w:rPr>
          <w:rFonts w:hint="eastAsia" w:ascii="仿宋_GB2312" w:eastAsia="仿宋_GB2312"/>
          <w:sz w:val="32"/>
          <w:szCs w:val="32"/>
          <w:lang w:eastAsia="zh-CN"/>
        </w:rPr>
      </w:pPr>
      <w:r>
        <w:rPr>
          <w:rFonts w:hint="eastAsia" w:ascii="仿宋_GB2312" w:eastAsia="仿宋_GB2312"/>
          <w:sz w:val="32"/>
          <w:szCs w:val="32"/>
        </w:rPr>
        <w:t>（2020年10月17日第十三届全国人民代表大会常务委员会第二十二次会议通过）</w:t>
      </w:r>
    </w:p>
    <w:p>
      <w:pPr>
        <w:jc w:val="center"/>
        <w:rPr>
          <w:rFonts w:ascii="仿宋_GB2312" w:eastAsia="仿宋_GB2312"/>
          <w:sz w:val="24"/>
          <w:szCs w:val="24"/>
        </w:rPr>
      </w:pPr>
      <w:bookmarkStart w:id="0" w:name="_GoBack"/>
      <w:bookmarkEnd w:id="0"/>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第一章　总则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第一条　为了维护国家安全，防范和应对生物安全风险，保障人民生命健康，保护生物资源和生态环境，促进生物技术健康发展，推动构建人类命运共同体，实现人与自然和谐共生，制定本法。</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从事下列活动，适用本法：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（一）防控重大新发突发传染病、动植物疫情；</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（二）生物技术研究、开发与应用；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（三）病原微生物实验室生物安全管理；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（四）人类遗传资源与生物资源安全管理；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（五）防范外来物种入侵与保护生物多样性；</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（六）应对微生物耐药；</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（七）防范生物恐怖袭击与防御生物武器威胁；</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（八）其他与生物安全相关的活动。</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第三条　生物安全是国家安全的重要组成部分。维护生物安全应当贯彻总体国家安全观，统筹发展和安全，坚持以人为本、风险预防、分类管理、协同配合的原则。</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第四条　坚持中国共产党对国家生物安全工作的领导，建立健全国家生物安全领导体制，加强国家生物安全风险防控和治理体系建设，提高国家生物安全治理能力。</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第五条　国家鼓励生物科技创新，加强生物安全基础设施和生物科技人才队伍建设，支持生物产业发展，以创新驱动提升生物科技水平，增强生物安全保障能力。</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相关科研院校、医疗机构以及其他企业事业单位应当将生物安全法律法规和生物安全知识纳入教育培训内容，加强学生、从业人员生物安全意识和伦理意识的培养。</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新闻媒体应当开展生物安全法律法规和生物安全知识公益宣传，对生物安全违法行为进行舆论监督，增强公众维护生物安全的社会责任意识。</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第八条　任何单位和个人不得危害生物安全。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任何单位和个人有权举报危害生物安全的行为；接到举报的部门应当及时依法处理。</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第九条　对在生物安全工作中做出突出贡献的单位和个人，县级以上人民政府及其有关部门按照国家规定予以表彰和奖励。</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第二章　生物安全风险防控体制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省、自治区、直辖市建立生物安全工作协调机制，组织协调、督促推进本行政区域内生物安全相关工作。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第十一条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国家生物安全工作协调机制成员单位和国务院其他有关部门根据职责分工，负责生物安全相关工作。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第十二条　国家生物安全工作协调机制设立专家委员会，为国家生物安全战略研究、政策制定及实施提供决策咨询。</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国务院有关部门组织建立相关领域、行业的生物安全技术咨询专家委员会，为生物安全工作提供咨询、评估、论证等技术支撑。</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第十三条　地方各级人民政府对本行政区域内生物安全工作负责。</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县级以上地方人民政府有关部门根据职责分工，负责生物安全相关工作。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基层群众性自治组织应当协助地方人民政府以及有关部门做好生物安全风险防控、应急处置和宣传教育等工作。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有关单位和个人应当配合做好生物安全风险防控和应急处置等工作。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第十四条　国家建立生物安全风险监测预警制度。国家生物安全工作协调机制组织建立国家生物安全风险监测预警体系，提高生物安全风险识别和分析能力。</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第十五条　国家建立生物安全风险调查评估制度。国家生物安全工作协调机制应当根据风险监测的数据、资料等信息，定期组织开展生物安全风险调查评估。</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有下列情形之一的，有关部门应当及时开展生物安全风险调查评估，依法采取必要的风险防控措施：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（一）通过风险监测或者接到举报发现可能存在生物安全风险；</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（二）为确定监督管理的重点领域、重点项目，制定、调整生物安全相关名录或者清单；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（三）发生重大新发突发传染病、动植物疫情等危害生物安全的事件；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（四）需要调查评估的其他情形。</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第十六条　国家建立生物安全信息共享制度。国家生物安全工作协调机制组织建立统一的国家生物安全信息平台，有关部门应当将生物安全数据、资料等信息汇交国家生物安全信息平台，实现信息共享。</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任何单位和个人不得编造、散布虚假的生物安全信息。</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第十八条　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第十九条　国家建立生物安全标准制度。国务院标准化主管部门和国务院其他有关部门根据职责分工，制定和完善生物安全领域相关标准。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国家生物安全工作协调机制组织有关部门加强不同领域生物安全标准的协调和衔接，建立和完善生物安全标准体系。</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第二十条　国家建立生物安全审查制度。对影响或者可能影响国家安全的生物领域重大事项和活动，由国务院有关部门进行生物安全审查，有效防范和化解生物安全风险。</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第二十一条　国家建立统一领导、协同联动、有序高效的生物安全应急制度。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国务院有关部门应当组织制定相关领域、行业生物安全事件应急预案，根据应急预案和统一部署开展应急演练、应急处置、应急救援和事后恢复等工作。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中国人民解放军、中国人民武装警察部队按照中央军事委员会的命令，依法参加生物安全事件应急处置和应急救援工作。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第二十三条　国家建立首次进境或者暂停后恢复进境的动植物、动植物产品、高风险生物因子国家准入制度。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进出境的人员、运输工具、集装箱、货物、物品、包装物和国际航行船舶压舱水排放等应当符合我国生物安全管理要求。</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海关对发现的进出境和过境生物安全风险，应当依法处置。经评估为生物安全高风险的人员、运输工具、货物、物品等，应当从指定的国境口岸进境，并采取严格的风险防控措施。</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第二十四条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第二十五条　县级以上人民政府有关部门应当依法开展生物安全监督检查工作，被检查单位和个人应当配合，如实说明情况，提供资料，不得拒绝、阻挠。</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涉及专业技术要求较高、执法业务难度较大的监督检查工作，应当有生物安全专业技术人员参加。</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第二十六条　县级以上人民政府有关部门实施生物安全监督检查，可以依法采取下列措施：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（一）进入被检查单位、地点或者涉嫌实施生物安全违法行为的场所进行现场监测、勘查、检查或者核查；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（二）向有关单位和个人了解情况；</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（三）查阅、复制有关文件、资料、档案、记录、凭证等；</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（四）查封涉嫌实施生物安全违法行为的场所、设施；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（五）扣押涉嫌实施生物安全违法行为的工具、设备以及相关物品；</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（六）法律法规规定的其他措施。</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有关单位和个人的生物安全违法信息应当依法纳入全国信用信息共享平台。</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第三章　防控重大新发突发传染病、动植物疫情</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第二十八条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国务院有关部门、县级以上地方人民政府及其有关部门应当根据预测和职责权限及时发布预警，并采取相应的防控措施。</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第二十九条　任何单位和个人发现传染病、动植物疫病的，应当及时向医疗机构、有关专业机构或者部门报告。</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医疗机构、专业机构及其工作人员发现传染病、动植物疫病或者不明原因的聚集性疾病的，应当及时报告，并采取保护性措施。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依法应当报告的，任何单位和个人不得瞒报、谎报、缓报、漏报，不得授意他人瞒报、谎报、缓报，不得阻碍他人报告。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第三十条　国家建立重大新发突发传染病、动植物疫情联防联控机制。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发生重大新发突发传染病、动植物疫情，地方各级人民政府统一履行本行政区域内疫情防控职责，加强组织领导，开展群防群控、医疗救治，动员和鼓励社会力量依法有序参与疫情防控工作。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第三十一条　国家加强国境、口岸传染病和动植物疫情联合防控能力建设，建立传染病、动植物疫情防控国际合作网络，尽早发现、控制重大新发突发传染病、动植物疫情。</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第三十二条　国家保护野生动物，加强动物防疫，防止动物源性传染病传播。</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第三十三条　国家加强对抗生素药物等抗微生物药物使用和残留的管理，支持应对微生物耐药的基础研究和科技攻关。</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国务院卫生健康、农业农村、林业草原、生态环境等主管部门和药品监督管理部门应当根据职责分工，评估抗微生物药物残留对人体健康、环境的危害，建立抗微生物药物污染物指标评价体系。</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第四章　生物技术研究、开发与应用安全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第三十四条　国家加强对生物技术研究、开发与应用活动的安全管理，禁止从事危及公众健康、损害生物资源、破坏生态系统和生物多样性等危害生物安全的生物技术研究、开发与应用活动。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从事生物技术研究、开发与应用活动，应当符合伦理原则。</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第三十五条　从事生物技术研究、开发与应用活动的单位应当对本单位生物技术研究、开发与应用的安全负责，采取生物安全风险防控措施，制定生物安全培训、跟踪检查、定期报告等工作制度，强化过程管理。</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第三十六条　国家对生物技术研究、开发活动实行分类管理。根据对公众健康、工业农业、生态环境等造成危害的风险程度，将生物技术研究、开发活动分为高风险、中风险、低风险三类。</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生物技术研究、开发活动风险分类标准及名录由国务院科学技术、卫生健康、农业农村等主管部门根据职责分工，会同国务院其他有关部门制定、调整并公布。</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第三十七条　从事生物技术研究、开发活动，应当遵守国家生物技术研究开发安全管理规范。</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从事生物技术研究、开发活动，应当进行风险类别判断，密切关注风险变化，及时采取应对措施。</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第三十八条　从事高风险、中风险生物技术研究、开发活动，应当由在我国境内依法成立的法人组织进行，并依法取得批准或者进行备案。</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从事高风险、中风险生物技术研究、开发活动，应当进行风险评估，制定风险防控计划和生物安全事件应急预案，降低研究、开发活动实施的风险。</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第三十九条　国家对涉及生物安全的重要设备和特殊生物因子实行追溯管理。购买或者引进列入管控清单的重要设备和特殊生物因子，应当进行登记，确保可追溯，并报国务院有关部门备案。</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个人不得购买或者持有列入管控清单的重要设备和特殊生物因子。</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第四十条　从事生物医学新技术临床研究，应当通过伦理审查，并在具备相应条件的医疗机构内进行；进行人体临床研究操作的，应当由符合相应条件的卫生专业技术人员执行。</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第四十一条　国务院有关部门依法对生物技术应用活动进行跟踪评估，发现存在生物安全风险的，应当及时采取有效补救和管控措施。</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第五章　病原微生物实验室生物安全</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第四十二条　国家加强对病原微生物实验室生物安全的管理，制定统一的实验室生物安全标准。病原微生物实验室应当符合生物安全国家标准和要求。</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从事病原微生物实验活动，应当严格遵守有关国家标准和实验室技术规范、操作规程，采取安全防范措施。</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第四十三条　国家根据病原微生物的传染性、感染后对人和动物的个体或者群体的危害程度，对病原微生物实行分类管理。</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从事高致病性或者疑似高致病性病原微生物样本采集、保藏、运输活动，应当具备相应条件，符合生物安全管理规范。具体办法由国务院卫生健康、农业农村主管部门制定。</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第四十四条　设立病原微生物实验室，应当依法取得批准或者进行备案。</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个人不得设立病原微生物实验室或者从事病原微生物实验活动。</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第四十五条　国家根据对病原微生物的生物安全防护水平，对病原微生物实验室实行分等级管理。</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从事病原微生物实验活动应当在相应等级的实验室进行。低等级病原微生物实验室不得从事国家病原微生物目录规定应当在高等级病原微生物实验室进行的病原微生物实验活动。</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第四十六条　高等级病原微生物实验室从事高致病性或者疑似高致病性病原微生物实验活动，应当经省级以上人民政府卫生健康或者农业农村主管部门批准，并将实验活动情况向批准部门报告。</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对我国尚未发现或者已经宣布消灭的病原微生物，未经批准不得从事相关实验活动。</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第四十七条　病原微生物实验室应当采取措施，加强对实验动物的管理，防止实验动物逃逸，对使用后的实验动物按照国家规定进行无害化处理，实现实验动物可追溯。禁止将使用后的实验动物流入市场。</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病原微生物实验室应当加强对实验活动废弃物的管理，依法对废水、废气以及其他废弃物进行处置，采取措施防止污染。</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病原微生物实验室设立单位的法定代表人和实验室负责人对实验室的生物安全负责。</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第四十九条　病原微生物实验室的设立单位应当建立和完善安全保卫制度，采取安全保卫措施，保障实验室及其病原微生物的安全。</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国家加强对高等级病原微生物实验室的安全保卫。高等级病原微生物实验室应当接受公安机关等部门有关实验室安全保卫工作的监督指导，严防高致病性病原微生物泄漏、丢失和被盗、被抢。</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国家建立高等级病原微生物实验室人员进入审核制度。进入高等级病原微生物实验室的人员应当经实验室负责人批准。对可能影响实验室生物安全的，不予批准；对批准进入的，应当采取安全保障措施。</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第五十一条　病原微生物实验室所在地省级人民政府及其卫生健康主管部门应当加强实验室所在地感染性疾病医疗资源配置，提高感染性疾病医疗救治能力。</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第五十二条　企业对涉及病原微生物操作的生产车间的生物安全管理，依照有关病原微生物实验室的规定和其他生物安全管理规范进行。</w:t>
      </w:r>
    </w:p>
    <w:p>
      <w:pPr>
        <w:pStyle w:val="10"/>
        <w:numPr>
          <w:numId w:val="0"/>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涉及生物毒素、植物有害生物及其他生物因子操作的生物安全实验室的建设和管理，参照有关病原微生物实验室的规定执行。</w:t>
      </w:r>
    </w:p>
    <w:p>
      <w:pPr>
        <w:pStyle w:val="10"/>
        <w:numPr>
          <w:numId w:val="0"/>
        </w:numPr>
        <w:adjustRightInd w:val="0"/>
        <w:snapToGrid w:val="0"/>
        <w:spacing w:line="360" w:lineRule="auto"/>
        <w:ind w:leftChars="200"/>
        <w:rPr>
          <w:rFonts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第六章　人类遗传资源与生物资源安全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第五十三条　国家加强对我国人类遗传资源和生物资源采集、保藏、利用、对外提供等活动的管理和监督，保障人类遗传资源和生物资源安全。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国家对我国人类遗传资源和生物资源享有主权。</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第五十四条　国家开展人类遗传资源和生物资源调查。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国务院科学技术主管部门组织开展我国人类遗传资源调查，制定重要遗传家系和特定地区人类遗传资源申报登记办法。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国务院科学技术、自然资源、生态环境、卫生健康、农业农村、林业草原、中医药主管部门根据职责分工，组织开展生物资源调查，制定重要生物资源申报登记办法。</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第五十五条　采集、保藏、利用、对外提供我国人类遗传资源，应当符合伦理原则，不得危害公众健康、国家安全和社会公共利益。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第五十六条　从事下列活动，应当经国务院科学技术主管部门批准：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（一）采集我国重要遗传家系、特定地区人类遗传资源或者采集国务院科学技术主管部门规定的种类、数量的人类遗传资源；</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（二）保藏我国人类遗传资源；</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（三）利用我国人类遗传资源开展国际科学研究合作；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（四）将我国人类遗传资源材料运送、邮寄、携带出境。</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前款规定不包括以临床诊疗、采供血服务、查处违法犯罪、兴奋剂检测和殡葬等为目的采集、保藏人类遗传资源及开展的相关活动。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境外组织、个人及其设立或者实际控制的机构不得在我国境内采集、保藏我国人类遗传资源，不得向境外提供我国人类遗传资源。</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第五十七条　将我国人类遗传资源信息向境外组织、个人及其设立或者实际控制的机构提供或者开放使用的，应当向国务院科学技术主管部门事先报告并提交信息备份。</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第五十八条　采集、保藏、利用、运输出境我国珍贵、濒危、特有物种及其可用于再生或者繁殖传代的个体、器官、组织、细胞、基因等遗传资源，应当遵守有关法律法规。</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境外组织、个人及其设立或者实际控制的机构获取和利用我国生物资源，应当依法取得批准。</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第五十九条　利用我国生物资源开展国际科学研究合作，应当依法取得批准。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利用我国人类遗传资源和生物资源开展国际科学研究合作，应当保证中方单位及其研究人员全过程、实质性地参与研究，依法分享相关权益。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第六十条　国家加强对外来物种入侵的防范和应对，保护生物多样性。国务院农业农村主管部门会同国务院其他有关部门制定外来入侵物种名录和管理办法。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国务院有关部门根据职责分工，加强对外来入侵物种的调查、监测、预警、控制、评估、清除以及生态修复等工作。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任何单位和个人未经批准，不得擅自引进、释放或者丢弃外来物种。</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第七章　防范生物恐怖与生物武器威胁</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第六十一条　国家采取一切必要措施防范生物恐怖与生物武器威胁。</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禁止开发、制造或者以其他方式获取、储存、持有和使用生物武器。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禁止以任何方式唆使、资助、协助他人开发、制造或者以其他方式获取生物武器。</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第六十二条　国务院有关部门制定、修改、公布可被用于生物恐怖活动、制造生物武器的生物体、生物毒素、设备或者技术清单，加强监管，防止其被用于制造生物武器或者恐怖目的。</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第六十四条　国务院有关部门、省级人民政府及其有关部门负责组织遭受生物恐怖袭击、生物武器攻击后的人员救治与安置、环境消毒、生态修复、安全监测和社会秩序恢复等工作。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第六十五条　国家组织开展对我国境内战争遗留生物武器及其危害结果、潜在影响的调查。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国家组织建设存放和处理战争遗留生物武器设施，保障对战争遗留生物武器的安全处置。</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第八章　生物安全能力建设</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第六十六条　国家制定生物安全事业发展规划，加强生物安全能力建设，提高应对生物安全事件的能力和水平。</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县级以上人民政府应当支持生物安全事业发展，按照事权划分，将支持下列生物安全事业发展的相关支出列入政府预算：</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（一）监测网络的构建和运行；</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（二）应急处置和防控物资的储备；</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（三）关键基础设施的建设和运行；</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（四）关键技术和产品的研究、开发；</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（五）人类遗传资源和生物资源的调查、保藏；</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（六）法律法规规定的其他重要生物安全事业。</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第六十八条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第六十九条　国务院有关部门根据职责分工，加强生物基础科学研究人才和生物领域专业技术人才培养，推动生物基础科学学科建设和科学研究。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国家生物安全基础设施重要岗位的从业人员应当具备符合要求的资格，相关信息应当向国务院有关部门备案，并接受岗位培训。</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第七十条　国家加强重大新发突发传染病、动植物疫情等生物安全风险防控的物资储备。</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国家加强生物安全应急药品、装备等物资的研究、开发和技术储备。国务院有关部门根据职责分工，落实生物安全应急药品、装备等物资研究、开发和技术储备的相关措施。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第七十一条　国家对从事高致病性病原微生物实验活动、生物安全事件现场处置等高风险生物安全工作的人员，提供有效的防护措施和医疗保障。</w:t>
      </w:r>
    </w:p>
    <w:p>
      <w:pPr>
        <w:adjustRightInd w:val="0"/>
        <w:snapToGrid w:val="0"/>
        <w:spacing w:line="360" w:lineRule="auto"/>
        <w:ind w:firstLine="640" w:firstLineChars="200"/>
        <w:rPr>
          <w:rFonts w:hint="eastAsia" w:ascii="仿宋_GB2312" w:eastAsia="仿宋_GB2312"/>
          <w:sz w:val="32"/>
          <w:szCs w:val="32"/>
        </w:rPr>
      </w:pPr>
    </w:p>
    <w:p>
      <w:pPr>
        <w:numPr>
          <w:ilvl w:val="0"/>
          <w:numId w:val="1"/>
        </w:numPr>
        <w:adjustRightInd w:val="0"/>
        <w:snapToGrid w:val="0"/>
        <w:spacing w:line="360" w:lineRule="auto"/>
        <w:ind w:firstLine="640" w:firstLineChars="20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法律责任</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第七十二条　违反本法规定，履行生物安全管理职责的工作人员在生物安全工作中滥用职权、玩忽职守、徇私舞弊或者有其他违法行为的，依法给予处分。</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违反本法规定，编造、散布虚假的生物安全信息，构成违反治安管理行为的，由公安机关依法给予治安管理处罚。</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第七十八条　违反本法规定，有下列行为之一的，由县级以上人民政府有关部门根据职责分工，责令改正，没收违法所得，给予警告，可以并处十万元以上一百万元以下的罚款：</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（一）购买或者引进列入管控清单的重要设备、特殊生物因子未进行登记，或者未报国务院有关部门备案；</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（二）个人购买或者持有列入管控清单的重要设备或者特殊生物因子；</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（三）个人设立病原微生物实验室或者从事病原微生物实验活动；</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（四）未经实验室负责人批准进入高等级病原微生物实验室。</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第八十一条　违反本法规定，未经批准，擅自引进外来物种的，由县级以上人民政府有关部门根据职责分工，没收引进的外来物种，并处五万元以上二十五万元以下的罚款。</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违反本法规定，未经批准，擅自释放或者丢弃外来物种的，由县级以上人民政府有关部门根据职责分工，责令限期捕回、找回释放或者丢弃的外来物种，处一万元以上五万元以下的罚款。</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第八十二条　违反本法规定，构成犯罪的，依法追究刑事责任；造成人身、财产或者其他损害的，依法承担民事责任。</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第八十三条　违反本法规定的生物安全违法行为，本法未规定法律责任，其他有关法律、行政法规有规定的，依照其规定。</w:t>
      </w:r>
    </w:p>
    <w:p>
      <w:pPr>
        <w:numPr>
          <w:numId w:val="0"/>
        </w:numPr>
        <w:adjustRightInd w:val="0"/>
        <w:snapToGrid w:val="0"/>
        <w:spacing w:line="360" w:lineRule="auto"/>
        <w:ind w:firstLine="640" w:firstLine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第八十四条　境外组织或者个人通过运输、邮寄、携带危险生物因子入境或者以其他方式危害我国生物安全的，依法追究法律责任，并可以采取其他必要措施。</w:t>
      </w:r>
    </w:p>
    <w:p>
      <w:pPr>
        <w:numPr>
          <w:numId w:val="0"/>
        </w:numPr>
        <w:adjustRightInd w:val="0"/>
        <w:snapToGrid w:val="0"/>
        <w:spacing w:line="360" w:lineRule="auto"/>
        <w:ind w:firstLine="640" w:firstLineChars="200"/>
        <w:rPr>
          <w:rFonts w:hint="eastAsia" w:ascii="仿宋_GB2312" w:eastAsia="仿宋_GB2312"/>
          <w:sz w:val="32"/>
          <w:szCs w:val="32"/>
        </w:rPr>
      </w:pPr>
    </w:p>
    <w:p>
      <w:pPr>
        <w:numPr>
          <w:ilvl w:val="0"/>
          <w:numId w:val="1"/>
        </w:numPr>
        <w:adjustRightInd w:val="0"/>
        <w:snapToGrid w:val="0"/>
        <w:spacing w:line="360" w:lineRule="auto"/>
        <w:ind w:left="0" w:leftChars="0" w:firstLine="640" w:firstLineChars="20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附则</w:t>
      </w:r>
    </w:p>
    <w:p>
      <w:pPr>
        <w:numPr>
          <w:numId w:val="0"/>
        </w:numPr>
        <w:adjustRightInd w:val="0"/>
        <w:snapToGrid w:val="0"/>
        <w:spacing w:line="360" w:lineRule="auto"/>
        <w:ind w:leftChars="200" w:firstLine="320" w:firstLineChars="100"/>
        <w:rPr>
          <w:rFonts w:hint="eastAsia" w:ascii="仿宋_GB2312" w:eastAsia="仿宋_GB2312"/>
          <w:sz w:val="32"/>
          <w:szCs w:val="32"/>
        </w:rPr>
      </w:pPr>
      <w:r>
        <w:rPr>
          <w:rFonts w:hint="eastAsia" w:ascii="仿宋_GB2312" w:eastAsia="仿宋_GB2312"/>
          <w:sz w:val="32"/>
          <w:szCs w:val="32"/>
        </w:rPr>
        <w:t>第八十五条　本法下列术语的含义：</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（一）生物因子，是指动物、植物、微生物、生物毒素及其他生物活性物质。</w:t>
      </w:r>
    </w:p>
    <w:p>
      <w:pPr>
        <w:numPr>
          <w:numId w:val="0"/>
        </w:numPr>
        <w:adjustRightInd w:val="0"/>
        <w:snapToGrid w:val="0"/>
        <w:spacing w:line="360" w:lineRule="auto"/>
        <w:ind w:left="0" w:leftChars="0" w:firstLine="640" w:firstLineChars="200"/>
        <w:rPr>
          <w:rFonts w:hint="eastAsia" w:ascii="仿宋_GB2312" w:eastAsia="仿宋_GB2312"/>
          <w:sz w:val="32"/>
          <w:szCs w:val="32"/>
        </w:rPr>
      </w:pPr>
      <w:r>
        <w:rPr>
          <w:rFonts w:hint="eastAsia" w:ascii="仿宋_GB2312" w:eastAsia="仿宋_GB2312"/>
          <w:sz w:val="32"/>
          <w:szCs w:val="32"/>
        </w:rPr>
        <w:t>（二）重大新发突发传染病，是指我国境内首次出现或者已经宣布消灭再次发生，或者突然发生，造成或者可能造成公众健康和生命安全严重损害，引起社会恐慌，影响社会稳定的传染病。</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（五）生物技术研究、开发与应用，是指通过科学和工程原理认识、改造、合成、利用生物而从事的科学研究、技术开发与应用等活动。</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（六）病原微生物，是指可以侵犯人、动物引起感染甚至传染病的微生物，包括病毒、细菌、真菌、立克次体、寄生虫等。</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（七）植物有害生物，是指能够对农作物、林木等植物造成危害的真菌、细菌、病毒、昆虫、线虫、杂草、害鼠、软体动物等生物。</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（九）微生物耐药，是指微生物对抗微生物药物产生抗性，导致抗微生物药物不能有效控制微生物的感染。</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（十一）生物恐怖，是指故意使用致病性微生物、生物毒素等实施袭击，损害人类或者动植物健康，引起社会恐慌，企图达到特定政治目的的行为。</w:t>
      </w:r>
    </w:p>
    <w:p>
      <w:pPr>
        <w:numPr>
          <w:numId w:val="0"/>
        </w:numPr>
        <w:adjustRightInd w:val="0"/>
        <w:snapToGrid w:val="0"/>
        <w:spacing w:line="360" w:lineRule="auto"/>
        <w:ind w:left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第八十六条　生物安全信息属于国家秘密的，应当依照《中华人民共和国保守国家秘密法》和国家其他有关保密规定实施保密管理。</w:t>
      </w:r>
    </w:p>
    <w:p>
      <w:pPr>
        <w:numPr>
          <w:numId w:val="0"/>
        </w:numPr>
        <w:adjustRightInd w:val="0"/>
        <w:snapToGrid w:val="0"/>
        <w:spacing w:line="360" w:lineRule="auto"/>
        <w:ind w:leftChars="200"/>
        <w:rPr>
          <w:rFonts w:hint="eastAsia" w:ascii="仿宋_GB2312" w:eastAsia="仿宋_GB2312"/>
          <w:sz w:val="32"/>
          <w:szCs w:val="32"/>
        </w:rPr>
      </w:pPr>
    </w:p>
    <w:p>
      <w:pPr>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第八十七条　中国人民解放军、中国人民武装警察部队的生物安全活动，由中央军事委员会依照本法规定的原则另行规定。</w:t>
      </w:r>
    </w:p>
    <w:p>
      <w:pPr>
        <w:numPr>
          <w:numId w:val="0"/>
        </w:numPr>
        <w:adjustRightInd w:val="0"/>
        <w:snapToGrid w:val="0"/>
        <w:spacing w:line="360" w:lineRule="auto"/>
        <w:ind w:leftChars="200"/>
        <w:rPr>
          <w:rFonts w:hint="eastAsia" w:ascii="仿宋_GB2312" w:eastAsia="仿宋_GB2312"/>
          <w:sz w:val="32"/>
          <w:szCs w:val="32"/>
        </w:rPr>
      </w:pPr>
    </w:p>
    <w:p>
      <w:pPr>
        <w:numPr>
          <w:numId w:val="0"/>
        </w:numPr>
        <w:adjustRightInd w:val="0"/>
        <w:snapToGrid w:val="0"/>
        <w:spacing w:line="360" w:lineRule="auto"/>
        <w:ind w:leftChars="200" w:firstLine="320" w:firstLineChars="100"/>
        <w:rPr>
          <w:rFonts w:hint="eastAsia" w:ascii="黑体" w:hAnsi="黑体" w:eastAsia="黑体" w:cs="黑体"/>
          <w:b w:val="0"/>
          <w:bCs/>
          <w:i w:val="0"/>
          <w:caps w:val="0"/>
          <w:color w:val="333333"/>
          <w:spacing w:val="0"/>
          <w:sz w:val="32"/>
          <w:szCs w:val="32"/>
          <w:shd w:val="clear" w:fill="FFFFFF"/>
        </w:rPr>
      </w:pPr>
      <w:r>
        <w:rPr>
          <w:rFonts w:hint="eastAsia" w:ascii="仿宋_GB2312" w:eastAsia="仿宋_GB2312"/>
          <w:sz w:val="32"/>
          <w:szCs w:val="32"/>
        </w:rPr>
        <w:t>第八十八条　本法自2021年4月15日起施行。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BD506"/>
    <w:multiLevelType w:val="singleLevel"/>
    <w:tmpl w:val="A83BD506"/>
    <w:lvl w:ilvl="0" w:tentative="0">
      <w:start w:val="9"/>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0"/>
    <w:rsid w:val="00053244"/>
    <w:rsid w:val="00067C24"/>
    <w:rsid w:val="000A68F5"/>
    <w:rsid w:val="000E471C"/>
    <w:rsid w:val="001C5FAF"/>
    <w:rsid w:val="001D1709"/>
    <w:rsid w:val="001D3E6F"/>
    <w:rsid w:val="00252E1F"/>
    <w:rsid w:val="002560A9"/>
    <w:rsid w:val="0026457E"/>
    <w:rsid w:val="002878BC"/>
    <w:rsid w:val="00334FF1"/>
    <w:rsid w:val="00420DAF"/>
    <w:rsid w:val="0045786D"/>
    <w:rsid w:val="00463FC5"/>
    <w:rsid w:val="00470552"/>
    <w:rsid w:val="0049534D"/>
    <w:rsid w:val="004B0AFF"/>
    <w:rsid w:val="004F1CE3"/>
    <w:rsid w:val="005046EA"/>
    <w:rsid w:val="005B355D"/>
    <w:rsid w:val="005C3AB0"/>
    <w:rsid w:val="005E1DF8"/>
    <w:rsid w:val="00613784"/>
    <w:rsid w:val="00657352"/>
    <w:rsid w:val="00664C40"/>
    <w:rsid w:val="006C4F03"/>
    <w:rsid w:val="006D0B69"/>
    <w:rsid w:val="00721C99"/>
    <w:rsid w:val="00730792"/>
    <w:rsid w:val="00731400"/>
    <w:rsid w:val="00737BA2"/>
    <w:rsid w:val="00737BD7"/>
    <w:rsid w:val="007927BC"/>
    <w:rsid w:val="007C1545"/>
    <w:rsid w:val="00807EF8"/>
    <w:rsid w:val="00820337"/>
    <w:rsid w:val="00834A75"/>
    <w:rsid w:val="008427FA"/>
    <w:rsid w:val="00863B41"/>
    <w:rsid w:val="00871AB3"/>
    <w:rsid w:val="008D1DB0"/>
    <w:rsid w:val="00917535"/>
    <w:rsid w:val="00945359"/>
    <w:rsid w:val="0099070C"/>
    <w:rsid w:val="009A777A"/>
    <w:rsid w:val="00A12DCE"/>
    <w:rsid w:val="00A52505"/>
    <w:rsid w:val="00A63A22"/>
    <w:rsid w:val="00A71013"/>
    <w:rsid w:val="00A7764E"/>
    <w:rsid w:val="00A93592"/>
    <w:rsid w:val="00A94ED8"/>
    <w:rsid w:val="00B221ED"/>
    <w:rsid w:val="00B3736F"/>
    <w:rsid w:val="00B9347B"/>
    <w:rsid w:val="00BB02C9"/>
    <w:rsid w:val="00BB6F63"/>
    <w:rsid w:val="00C40130"/>
    <w:rsid w:val="00C743C0"/>
    <w:rsid w:val="00C94659"/>
    <w:rsid w:val="00CA4047"/>
    <w:rsid w:val="00CE106E"/>
    <w:rsid w:val="00D01CD1"/>
    <w:rsid w:val="00D41F3E"/>
    <w:rsid w:val="00D82EE8"/>
    <w:rsid w:val="00DC53D5"/>
    <w:rsid w:val="00E52E8C"/>
    <w:rsid w:val="00E67CD7"/>
    <w:rsid w:val="00E869DF"/>
    <w:rsid w:val="00E90C2C"/>
    <w:rsid w:val="00EB6B80"/>
    <w:rsid w:val="00EC6533"/>
    <w:rsid w:val="00EF55AE"/>
    <w:rsid w:val="00F469DD"/>
    <w:rsid w:val="00F75775"/>
    <w:rsid w:val="00F779EC"/>
    <w:rsid w:val="00F82F14"/>
    <w:rsid w:val="00F83763"/>
    <w:rsid w:val="00F96E97"/>
    <w:rsid w:val="00FC6064"/>
    <w:rsid w:val="1CF93288"/>
    <w:rsid w:val="2D9D381C"/>
    <w:rsid w:val="6FE9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paragraph" w:styleId="10">
    <w:name w:val="List Paragraph"/>
    <w:basedOn w:val="1"/>
    <w:qFormat/>
    <w:uiPriority w:val="34"/>
    <w:pPr>
      <w:ind w:firstLine="420" w:firstLineChars="200"/>
    </w:pPr>
  </w:style>
  <w:style w:type="character" w:customStyle="1" w:styleId="11">
    <w:name w:val="fontstyle01"/>
    <w:basedOn w:val="7"/>
    <w:uiPriority w:val="0"/>
    <w:rPr>
      <w:rFonts w:hint="eastAsia" w:ascii="仿宋" w:hAnsi="仿宋" w:eastAsia="仿宋"/>
      <w:color w:val="000000"/>
      <w:sz w:val="30"/>
      <w:szCs w:val="30"/>
    </w:rPr>
  </w:style>
  <w:style w:type="paragraph" w:customStyle="1" w:styleId="12">
    <w:name w:val="contentfon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331</Words>
  <Characters>1891</Characters>
  <Lines>15</Lines>
  <Paragraphs>4</Paragraphs>
  <TotalTime>2</TotalTime>
  <ScaleCrop>false</ScaleCrop>
  <LinksUpToDate>false</LinksUpToDate>
  <CharactersWithSpaces>2218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2021-04-09T13:32:00Z</dcterms:created>
  <dc:creator>李文婷(Wenting Li)</dc:creator>
  <cp:lastModifiedBy>杨明明</cp:lastModifiedBy>
  <dcterms:modified xsi:type="dcterms:W3CDTF">2021-04-12T08:03:18Z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