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《深圳市可持续发展规划（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2017-2030年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指标体系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一、调整前的指标体系</w:t>
      </w:r>
    </w:p>
    <w:tbl>
      <w:tblPr>
        <w:tblStyle w:val="5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721"/>
        <w:gridCol w:w="2037"/>
        <w:gridCol w:w="1120"/>
        <w:gridCol w:w="1120"/>
        <w:gridCol w:w="1120"/>
        <w:gridCol w:w="112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2025年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2030年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动</w:t>
            </w: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全社会研发支出占GDP比重（%）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4.10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4.25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4.50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4.80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每万人发明专利拥有量（件）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80.1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84.0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92.0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PCT专利申请量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（万件）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1.96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2.30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3.00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Hlk486937804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每万名就业人数中研发人员数量</w:t>
            </w:r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(人年）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科技进步贡献率（%）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62.0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64.0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展</w:t>
            </w: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人均地区生产总值（万元）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16.86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17.60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18.50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20.00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新兴产业增加值占GDP比重（%）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42.0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43.0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第三产业增加值占GDP比重（%）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61.0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62.0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先进制造业增加值占规模以上工业增加值比重（%）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居民人均可支配收入（万元）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4.87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6.00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8.00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10.00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新增劳动力平均受教育年限（年）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≥14.5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≥14.7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≥15.0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继续教育年参与率（%）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≥80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≥85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≥90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居民人均预期寿（岁）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80.88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81.70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82.71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83.73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重大慢性病过早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死亡率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4.77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4.24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重点癌症早诊率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65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每万人全科医生（人）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2.03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3.50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公共文化设施总面积（万平方米）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注册志愿者总人数（万人）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高峰期间公共交通占机动化出行分担率（%）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65.0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75.0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光纤入户率（%）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亿元GDP生产安全事故死亡率累计下降（%）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20.78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40.00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重点品种食品监测合格率（%）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万人八类刑事案件立案数（宗）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≤3.5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≤3.3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≤3.2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升</w:t>
            </w: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万元GDP水耗（立方米）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10.22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10.00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7.18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5.56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细颗粒物（PM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）年均浓度（微克/立方米）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臭氧(O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)日最大8小时平均浓度限值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（微克/立方米）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城市污水集中处理（%）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91.5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95.5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97.0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98.0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再生水利用率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生活垃圾资源化利用率（%）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建成区绿化覆盖率（%）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45.1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45.1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45.3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45.5</w:t>
            </w:r>
          </w:p>
        </w:tc>
        <w:tc>
          <w:tcPr>
            <w:tcW w:w="57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二、调整后的指标体系</w:t>
      </w:r>
    </w:p>
    <w:tbl>
      <w:tblPr>
        <w:tblStyle w:val="5"/>
        <w:tblW w:w="52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721"/>
        <w:gridCol w:w="2037"/>
        <w:gridCol w:w="1135"/>
        <w:gridCol w:w="1135"/>
        <w:gridCol w:w="1135"/>
        <w:gridCol w:w="1142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2025年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2030年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动</w:t>
            </w: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全社会研发支出占GDP比重（%）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4.10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4.25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4.50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4.80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有效发明专利拥有量（万件）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9.53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14.5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15.5</w:t>
            </w:r>
          </w:p>
        </w:tc>
        <w:tc>
          <w:tcPr>
            <w:tcW w:w="114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PCT专利申请量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（万件）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1.96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1.60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1.62</w:t>
            </w:r>
          </w:p>
        </w:tc>
        <w:tc>
          <w:tcPr>
            <w:tcW w:w="114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1.64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每万名就业人数中研发人员数量(人年）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科技进步贡献率（%）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62.0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63.0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64.0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展</w:t>
            </w: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人均地区生产总值（万元）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16.86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17.60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战略性新兴产业增加值占GDP比重（%）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36.0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39.0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40.0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第三产业增加值占GDP比重（%）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60.0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61.0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62.0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先进制造业增加值占规模以上工业增加值比重（%）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居民人均可支配收入（万元）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4.87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6.00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8.00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10.00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新增劳动力平均受教育年限（年）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14.0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≥14.5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≥14.7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≥15.0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继续教育年参与率（%）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≥80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≥85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≥90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居民人均预期寿（岁）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80.88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81.70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82.71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83.73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重大慢性病过早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死亡率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4.77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4.50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4.24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重点癌症早诊率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每万人全科医生（人）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2.03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3.20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3.50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4.00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公共文化设施总面积（万平方米）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注册志愿者总人数（万人）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高峰期间公共交通占机动化出行分担率（%）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65.0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color w:val="000000"/>
                <w:kern w:val="0"/>
                <w:sz w:val="24"/>
              </w:rPr>
              <w:t>67.5</w:t>
            </w:r>
          </w:p>
        </w:tc>
        <w:tc>
          <w:tcPr>
            <w:tcW w:w="114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color w:val="000000"/>
                <w:kern w:val="0"/>
                <w:sz w:val="24"/>
              </w:rPr>
              <w:t>69.0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光纤入户率（%）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  <w:t>亿元GDP生产安全事故死亡率累计下降（%）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20.78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40.00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重点品种食品监测合格率（%）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万人八类刑事案件立案数（宗）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≤3.5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≤3.3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≤3.2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升</w:t>
            </w: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万元GDP水耗（立方米）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10.22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5.56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细颗粒物（PM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）年均浓度（微克/立方米）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臭氧(O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)日最大8 小时滑动平均值第90 百分位数（微克/立方米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城市污水集中处理（%）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91.5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95.5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97.0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98.0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再生水利用率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生活垃圾资源化利用率（%）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8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建成区绿化覆盖率（%）</w:t>
            </w:r>
          </w:p>
        </w:tc>
        <w:tc>
          <w:tcPr>
            <w:tcW w:w="634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45.1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41.9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114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533" w:type="pc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预期性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BA7F56"/>
    <w:rsid w:val="28090108"/>
    <w:rsid w:val="428074D9"/>
    <w:rsid w:val="517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line="600" w:lineRule="exact"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6"/>
    <w:link w:val="2"/>
    <w:qFormat/>
    <w:uiPriority w:val="9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2020-10-26T07:32:00Z</dcterms:created>
  <dc:creator>刘擎</dc:creator>
  <cp:lastModifiedBy>刘擎</cp:lastModifiedBy>
  <dcterms:modified xsi:type="dcterms:W3CDTF">2020-10-28T02:48:15Z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